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ZH_SOZIALVERSICHERUNGSGERICHT UV.2020.00061 vom 9. Juni 2021</w:t>
      </w:r>
    </w:p>
    <w:p>
      <w:r>
        <w:t>ZH Sozialversicherungsgericht, 2021-06-09, DE</w:t>
      </w:r>
    </w:p>
    <w:p>
      <w:r>
        <w:rPr>
          <w:b/>
        </w:rPr>
        <w:t xml:space="preserve">Quelle: </w:t>
      </w:r>
      <w:r>
        <w:t>https://mcp.opencaselaw.ch/entscheid/zh_sozialversicherungsgericht_UV.2020.00061</w:t>
      </w:r>
    </w:p>
    <w:p>
      <w:r>
        <w:t>FR: ZH_SOZIALVERSICHERUNGSGERICHT UV.2020.00061 du 9 juin 2021</w:t>
      </w:r>
    </w:p>
    <w:p>
      <w:r>
        <w:t>IT: ZH_SOZIALVERSICHERUNGSGERICHT UV.2020.00061 del 9 giugno 2021</w:t>
      </w:r>
    </w:p>
    <w:p>
      <w:pPr>
        <w:pStyle w:val="Heading2"/>
      </w:pPr>
      <w:r>
        <w:t>Erwägungen</w:t>
      </w:r>
    </w:p>
    <w:p>
      <w:r>
        <w:rPr>
          <w:b/>
        </w:rPr>
        <w:t>E. 1.1.1</w:t>
      </w:r>
    </w:p>
    <w:p>
      <w:r>
        <w:t>X.___ , geboren 1954, war ab dem 1. Juni 2009 in einem Vollzeitpen sum als Schlosser/Monteur bei der Y.___ AG angestellt und als solcher bei der Suva obligatorisch gegen die Folgen von Berufs- und Nichtberufsunfällen versichert. Am 1 4. April 2015 rutschte er beim Drehen eines Werkstücks an der Werkbank mit der Hand ab und brach sich das rechte Handgelenk ( Urk. 8/1). Die Suva, die am 2 2. April 2015 über das Ereignis in Kenntnis gesetzt worden war, richtete Taggeld er aus und übernahm die Heilungskosten ( Urk. 8/2).</w:t>
      </w:r>
    </w:p>
    <w:p>
      <w:r>
        <w:t>Nachdem die kreisärztliche Untersuchung vom 1 8. Juli 2016 ergeben hatte, dass von weiteren Therapien keine wesentliche Besserung des Gesundheitszustandes mehr zu erwarten sei ( Urk. 8/125), orientierte die Suva den Versicherten mit Schreiben vom 2 2. Juli 2016 über den Fallabschluss per 3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