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UV.2020.00057 vom 14. Juli 2021</w:t>
      </w:r>
    </w:p>
    <w:p>
      <w:r>
        <w:t>ZH Sozialversicherungsgericht, 2021-07-14, DE</w:t>
      </w:r>
    </w:p>
    <w:p>
      <w:r>
        <w:rPr>
          <w:b/>
        </w:rPr>
        <w:t xml:space="preserve">Quelle: </w:t>
      </w:r>
      <w:r>
        <w:t>https://mcp.opencaselaw.ch/entscheid/zh_sozialversicherungsgericht_UV.2020.00057</w:t>
      </w:r>
    </w:p>
    <w:p>
      <w:r>
        <w:t>FR: ZH_SOZIALVERSICHERUNGSGERICHT UV.2020.00057 du 14 juillet 2021</w:t>
      </w:r>
    </w:p>
    <w:p>
      <w:r>
        <w:t>IT: ZH_SOZIALVERSICHERUNGSGERICHT UV.2020.00057 del 14 luglio 2021</w:t>
      </w:r>
    </w:p>
    <w:p>
      <w:pPr>
        <w:pStyle w:val="Heading2"/>
      </w:pPr>
      <w:r>
        <w:t>Erwägungen</w:t>
      </w:r>
    </w:p>
    <w:p>
      <w:r>
        <w:rPr>
          <w:b/>
        </w:rPr>
        <w:t>E. 1</w:t>
      </w:r>
    </w:p>
    <w:p>
      <w:r>
        <w:t>0 %) zu ( Urk. 8/206) . Die dag egen erhobene Einsprache ( Urk. 8/211, 8/229 ) wies die Suva mit Entscheid vom 12. Februar 2020 ab ( Urk. 2).</w:t>
      </w:r>
    </w:p>
    <w:p>
      <w:r>
        <w:rPr>
          <w:b/>
        </w:rPr>
        <w:t>E. 1.1</w:t>
      </w:r>
    </w:p>
    <w:p>
      <w:r>
        <w:t>Gemäss Art. 6 des Bundesgesetzes üb er die Unfallversicherung (UVG) werden – soweit das Gesetz nichts anderes bestimmt – die Versicherungsleistungen bei Be 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 spruch auf eine Invalidenrente, sofern sich der Unfall vor Erreichen des ordent lichen Rentenalters ereignet hat (Art. 18 Abs. 1 UVG) .</w:t>
      </w:r>
    </w:p>
    <w:p>
      <w:r>
        <w:rPr>
          <w:b/>
        </w:rPr>
        <w:t>E. 1.2</w:t>
      </w:r>
    </w:p>
    <w:p>
      <w:r>
        <w:t>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Eingliederungsmass nahmen der Invalidenversicherung abgeschlossen sind (vgl. Art. 19 Abs. 1, Art. 24 Abs. 2 UVG; BGE 144 V 354 E. 4.1 mit Hinweisen; Urteil des Bundesgerichts 8C_ 527/2020 vom 2. November 2020 E. 4.1 mit Hinweisen ).</w:t>
      </w:r>
    </w:p>
    <w:p>
      <w:r>
        <w:t>Ob eine namhafte Besserung noch möglich ist, bestimmt sich insbesondere nach Massgabe der zu erwartenden Steigerung oder Wiederherstellung der Arbeits fähigkeit, soweit diese unfallbedingt beeinträchtigt ist. Die Verwendung des Be griffes «namhaft» in Art. 19 Abs. 1 UVG verdeutlicht demnach, dass die durch weitere (zweckmässige) Heilbehandlung im Sinne von Art. 10 Abs. 1 UVG erhoffte Besserung ins Gewicht fallen muss. Weder eine weit entfernte Mög lich keit eines positiven Resultats einer Fortsetzung der ärztlichen Behandlung noch ein von weiteren Massnahmen – wie etwa einer Badekur – zu erwartender ge ringfügiger therapeutischer Fortschritt verleihen Anspruch auf deren Durch füh rung. In diesem Zusammenhang muss der Gesundheitszustand der versicherten Person prognostisch und nicht aufgrund retrospektiver Feststellungen beurteilt werden (Urteil des Bundesgerichts 8C_ 64/2021 vom 14. April 2021 E. 3.2 mit Hinweisen, insbesondere auf BGE 134 V 109 E. 4.3). Grundlage für die Beurtei lung dieser Rechtsfrage bilden in erster Linie die ärztlichen Auskünfte zu den therapeutischen Möglichkeiten und der Krankheitsentwicklung, die in der Regel unter dem Begriff Prognose erfasst werden (Urteil des Bundesgerichts 8C_44/2021 vom 5. März 2021 E. 5.2 mit Hinweisen).</w:t>
      </w:r>
    </w:p>
    <w:p>
      <w:r>
        <w:rPr>
          <w:b/>
        </w:rPr>
        <w:t>E. 1.3.1</w:t>
      </w:r>
    </w:p>
    <w:p>
      <w:r>
        <w:t>Erleidet die versicherte Person durch den Unfall eine dauernde erhebliche Schädi gung der körperlichen, geistigen oder psychischen Integrität, so hat sie Anspruch auf eine angemessene Integritätsentschädigung (Art. 24 Abs. 1 UVG). Die Inte gritätsentschädigung wird in Form einer Kapitalleistung gewährt. Sie darf den am Unfalltag geltenden Höchstbetrag des versicherten Jahresverdienstes nicht über steigen und wird entsprechend der Schwere des Integritätsschadens abgestuft (Art. 25 Abs. 1 UVG).</w:t>
      </w:r>
    </w:p>
    <w:p>
      <w:r>
        <w:t>Nach Art. 25 Abs. 2 UVG regelt der Bundesrat die Bemessung der Entschädigung. Von dieser Befugnis hat er in Art. 36 der Verordnung über die Unfallversicherung (UVV) Gebrauch gemacht. Abs. 1 bestimmt, dass ein Integritätsschaden als dau 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 täts entschädigung die Richtlinien des Anhangs 3. Fallen mehrere körperliche, geistige oder psychische Integritätsschäden aus einem oder mehreren Unfällen zusammen, so wird die Integritätsentschädigung nach der gesamten Beein träch tigung festgesetzt. Die Gesamtentschädigung darf den Höchstbetrag des versi cherten Jahresverdienstes nicht übersteigen und bereits nach dem Gesetz bezo gene Entschädigungen werden prozentual angerechnet (Abs. 3). Voraussehbare Verschlimmerungen des Integritätsschadens werden angemessen berücksichtigt. Revisionen sind nur im Ausnahmefall möglich, wenn die Verschlimmerung von grosser Tragweite ist und nicht voraussehbar war (Abs. 4).</w:t>
      </w:r>
    </w:p>
    <w:p>
      <w:r>
        <w:rPr>
          <w:b/>
        </w:rPr>
        <w:t>E. 1.3.2</w:t>
      </w:r>
    </w:p>
    <w:p>
      <w:r>
        <w:t>Im Anhang 3 zur UVV hat der Bundesrat Richtlinien für die Bemessung der Inte gritätsschäden aufgestellt und in einer als gesetzmässig erkannten, nicht ab schliessenden Skala (BGE 124 V 29 E. 1b mit Hinweisen) häufig vorkommende und typische Schäden prozentual gewichtet. Für die darin genannten Integri täts schäden entspricht die Entschädigung im Regelfall dem angegebenen Prozentsatz des Höchstbetrages des versicherten Verdienstes (Ziff. 1 Abs. 1). Die Entschä 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rPr>
          <w:b/>
        </w:rPr>
        <w:t>E. 1.3.3</w:t>
      </w:r>
    </w:p>
    <w:p>
      <w:r>
        <w:t>Die Medizinische Abteilung der Suva hat in Weiterentwicklung der bundesrät lichen Skala weitere Bemessungsgrundlagen in tabellarischer Form (sog. Fein raster) erarbeitet. Diese von der Verwaltung herausgegebenen Tabellen stellen zwar keine Rechtssätze dar und sind für das Gericht nicht verbindlich, umso we ni ger als Ziff. 1 Abs. 1 von Anhang 3 zur UVV bestimmt, der in der Skala ange gebene Prozentsatz des Integritätsschadens gelte im Regelfall, welcher im Ein zelfall Abweichungen nach unten wie nach oben ermöglicht. Soweit sie jedoch lediglich Richtwerte enthalten, mit denen die Gleichbehandlung aller Versicher ten gewährleistet werden soll, sind sie mit dem Anhang 3 zur UVV vereinbar (BGE 124 V 29 E. 1c, 116 V 156 E. 3a).</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Versi che 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w:t>
      </w:r>
    </w:p>
    <w:p>
      <w:r>
        <w:rPr>
          <w:b/>
        </w:rPr>
        <w:t>E. 2</w:t>
      </w:r>
    </w:p>
    <w:p>
      <w:r>
        <w:t>Dagegen erhob X.___ am 13. März 2020 Beschwerde mit dem Antrag, der angefochtene Einspracheentscheid sei infolge des inkonsistenten Akten stan des aufzuheben. Eventualiter seien ihm die gesetzlichen Leistungen in Form einer Invalidenrente von mindestens 17 % und einer Integritätsentschädigung von 45 % sowie nach dem Fallabschluss weiterhin Heilbehandlungen zu gewähren, insbesondere Physiotherapie im bisherigen beziehungsweise notwendigen Um fa ng ( Urk. 1 S. 2). Am 3. April 2020 schloss die Suva auf Abweisung der Beschwerde ( Urk. 7), wovon der Beschwerdeführer mit Verfügung vom 17. April 2020 in Kenntnis gesetzt wurde ( Urk. 11). Das Gericht zieht in Erwägung: 1.</w:t>
      </w:r>
    </w:p>
    <w:p>
      <w:r>
        <w:rPr>
          <w:b/>
        </w:rPr>
        <w:t>E. 2.1</w:t>
      </w:r>
    </w:p>
    <w:p>
      <w:r>
        <w:t>Die Beschwerdegegnerin begründete ihren Einspracheentscheid ( Urk. 2) im We sent lichen damit, dass vorliegend keine ärztlichen Berichte bestätigen würden , dass von einer weiteren medizinischen Behandlung mit überwiegender Wahr scheinlichkeit noch eine namhafte Besserung zu erwarten sei . Der Fallabschluss per 31 . Dezember 2018 sei deshalb zu R echt erfolgt. Dem Beschwerdeführer sei eine leidensangepasste Tätigkeit vollschichtig möglich und bei einem ermittelten I n validitätsg rad von rund 7 % bestehe kein Anspruch auf eine Invalidenrente . A ufgrund der lediglich beginnenden Arthrosen in Hand- und Hüftgelenk recht fertige sich zudem keine Integritätsentschädigung über 10 %.</w:t>
      </w:r>
    </w:p>
    <w:p>
      <w:r>
        <w:rPr>
          <w:b/>
        </w:rPr>
        <w:t>E. 2.2</w:t>
      </w:r>
    </w:p>
    <w:p>
      <w:r>
        <w:t>mit Hinweisen).</w:t>
      </w:r>
    </w:p>
    <w:p>
      <w:r>
        <w:rPr>
          <w:b/>
        </w:rPr>
        <w:t>E. 3</w:t>
      </w:r>
    </w:p>
    <w:p>
      <w:r>
        <w:t>Vorab ist auf die Rüge des Beschwerdeführers einzugehen, wonach in den Unfall a kt en die Aktoren 188 und 190 fehl t en und sich der Aktenstand damit als nicht re chtsgenüglich im Sinne von Art. 46 des Bundesgesetz es über den Allgemeinen Teil des Sozialversicherungsrechts (ATSG) erweise n würde , weshalb der Ein spra cheentscheid aufzuheben sei ( Urk. 1 S. 4). Diesbezüglich erläuterte die Beschwer degegnerin</w:t>
      </w:r>
    </w:p>
    <w:p>
      <w:r>
        <w:t>in ihrer Beschwerdeantwort, dass es sich bei den beiden Aktenstücken ( Urk. 8/188, 8/190) lediglich um Kopieempfängerbriefe</w:t>
      </w:r>
    </w:p>
    <w:p>
      <w:r>
        <w:t>des Schreibens vom 29. November 2018 ( Urk. 8/189) handle , welche infolge eines technischen Pro blems im bisherigen Aktenverzeichnis und in der Aktensammlung fehlten ( Urk.</w:t>
      </w:r>
    </w:p>
    <w:p>
      <w:r>
        <w:rPr>
          <w:b/>
        </w:rPr>
        <w:t>E. 7</w:t>
      </w:r>
    </w:p>
    <w:p>
      <w:r>
        <w:t>.4</w:t>
      </w:r>
    </w:p>
    <w:p>
      <w:r>
        <w:t>Angesichts dessen, dass der Beschwerdeführer keinen Anspruch auf eine Rente hat, steht ihm auch kein Anspruch auf Heilbehandlung gemäss Art. 21 Abs. 1 UVG (Heilbehandlung nach Festsetzung der Rente) zu (Urteil des Bun des gerichts U 482/06 vom 8. Februar 2007 E. 3.1 , BGE 140 V 130 E. 2.3 f. ).</w:t>
      </w:r>
    </w:p>
    <w:p>
      <w:r>
        <w:rPr>
          <w:b/>
        </w:rPr>
        <w:t>E. 8</w:t>
      </w:r>
    </w:p>
    <w:p>
      <w:r>
        <w:t>.4</w:t>
      </w:r>
    </w:p>
    <w:p>
      <w:r>
        <w:t>Ähnliche Überlegungen rechtfertigen sich in Bezug auf die Hüftproblematik. Gemäss Suva-Tabelle 5 – Integritätsschaden bei Arthrosen – wird der Inte gri tätsschaden bei einer mässigen Coxarthrose auf 10 bis 30 % festgesetzt, wäh rend bei einer leichten Arthrose keine Integritätsentschädigung geschuldet ist. Da der Beschwerde führer lediglich unter einer beginnenden Coxarthrose leidet, ist eine Integritätsentschädigung von 5 % unter Berücksichtigung eine r gewissen Ver schlechterung des Integritätsschadens durchaus angeme ssen, zumal zu m aktuellen Zeitpunkt gemäss PD Dr. D.___</w:t>
      </w:r>
    </w:p>
    <w:p>
      <w:r>
        <w:t>k eine Implantation eine r Hüftt otalendoprothese geplant ist und sich seinen A ngaben zufolge ein</w:t>
      </w:r>
    </w:p>
    <w:p>
      <w:r>
        <w:t>Coxarthrose radiologisch nur erahnen lässt ( Urk. 8/233 /1 ) .</w:t>
      </w:r>
    </w:p>
    <w:p>
      <w:r>
        <w:rPr>
          <w:b/>
        </w:rPr>
        <w:t>E. 9</w:t>
      </w:r>
    </w:p>
    <w:p>
      <w:r>
        <w:t>.</w:t>
      </w:r>
    </w:p>
    <w:p>
      <w:r>
        <w:t>Zusammenfassend erweist sich damit der angefochtene Einspracheentscheid vom</w:t>
      </w:r>
    </w:p>
    <w:p>
      <w:r>
        <w:rPr>
          <w:b/>
        </w:rPr>
        <w:t>E. 12</w:t>
      </w:r>
    </w:p>
    <w:p>
      <w:r>
        <w:t>. Februar 2020 ( Urk. 2) als rechtens, was zur Abweisung der Beschwerde führt. Das Gericht erkennt: 1.</w:t>
      </w:r>
    </w:p>
    <w:p>
      <w:r>
        <w:t>Die Beschwerde wird abgewiesen. 2.</w:t>
      </w:r>
    </w:p>
    <w:p>
      <w:r>
        <w:t>Das Verfahren ist kostenlos. 3.</w:t>
      </w:r>
    </w:p>
    <w:p>
      <w:r>
        <w:t>Zustellung gegen Empfangsschein an: - Rechtsanwalt Jürg Maron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