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UV.2019.00264 vom 7. Oktober 2020</w:t>
      </w:r>
    </w:p>
    <w:p>
      <w:r>
        <w:t>ZH Sozialversicherungsgericht, 2020-10-07, DE</w:t>
      </w:r>
    </w:p>
    <w:p>
      <w:r>
        <w:rPr>
          <w:b/>
        </w:rPr>
        <w:t xml:space="preserve">Quelle: </w:t>
      </w:r>
      <w:r>
        <w:t>https://mcp.opencaselaw.ch/entscheid/zh_sozialversicherungsgericht_UV.2019.00264</w:t>
      </w:r>
    </w:p>
    <w:p>
      <w:r>
        <w:t>FR: ZH_SOZIALVERSICHERUNGSGERICHT UV.2019.00264 du 7 octobre 2020</w:t>
      </w:r>
    </w:p>
    <w:p>
      <w:r>
        <w:t>IT: ZH_SOZIALVERSICHERUNGSGERICHT UV.2019.00264 del 7 ottobre 2020</w:t>
      </w:r>
    </w:p>
    <w:p>
      <w:pPr>
        <w:pStyle w:val="Heading2"/>
      </w:pPr>
      <w:r>
        <w:t>Erwägungen</w:t>
      </w:r>
    </w:p>
    <w:p>
      <w:r>
        <w:rPr>
          <w:b/>
        </w:rPr>
        <w:t>E. 1</w:t>
      </w:r>
    </w:p>
    <w:p>
      <w:r>
        <w:t>Die 1986 geborene X.___ ist seit dem 1. Juni 2016 beim Spital Y.___ als Allgemeinkrankenpflegerin angestellt (Urk. 10/K1 ) und damit bei der HDI Global SE, Hannover, Niederlassung Zürich/Schweiz (fortan: HDI Global) obligato risch unfallversichert (vgl. Urk. 10/K3) .</w:t>
      </w:r>
    </w:p>
    <w:p>
      <w:r>
        <w:t>Zur Behandlung einer multidirektionalen Kniegelenksinstabilität , welche ursprünglich auf eine n Reitunfall im Jahr 1997 zurückg eht ,</w:t>
      </w:r>
    </w:p>
    <w:p>
      <w:r>
        <w:t>liess sich die Versicherte nach einer lang jährigen Leidensgeschichte mit zahlreichen Operationen</w:t>
      </w:r>
    </w:p>
    <w:p>
      <w:r>
        <w:t>am 14. April 2011 am rechten Knie eine Knietotalendoprothese</w:t>
      </w:r>
    </w:p>
    <w:p>
      <w:r>
        <w:t>( KTEP ) einsetzen (vgl. Urk. 1 0/M27/2, Urk. 10/M39 S. 45-48).</w:t>
      </w:r>
    </w:p>
    <w:p>
      <w:r>
        <w:rPr>
          <w:b/>
        </w:rPr>
        <w:t>E. 1.1</w:t>
      </w:r>
    </w:p>
    <w:p>
      <w:r>
        <w:t>Gemäss Art. 29 Abs.</w:t>
      </w:r>
    </w:p>
    <w:p>
      <w:r>
        <w:rPr>
          <w:b/>
        </w:rPr>
        <w:t>E. 1.2</w:t>
      </w:r>
    </w:p>
    <w:p>
      <w:r>
        <w:t>Mit Unfallmeldung vom 15. Februar 2017 (Urk. 10/K1) liess die Versicherte der HDI Global mitteilen, dass sie a m 27. Januar 20 17 beim Aussteigen aus dem Auto auf einer Eis fläche aus gerutscht sei und sich dabei das rechte Knie verdreht habe . Ihr Hausarzt und Vater Dr. med. Z .___</w:t>
      </w:r>
    </w:p>
    <w:p>
      <w:r>
        <w:t>diagnostizierte im ärztlichen Erstbericht vom 28. Februar 2017 (Urk. 10/M1 Ziff . 5)</w:t>
      </w:r>
    </w:p>
    <w:p>
      <w:r>
        <w:t>eine Innenbandzerrung am rechten Knie . Ab dem 6. März 2017 war die Versicherte wieder arbeitsfähig (Urk. 10/K7).</w:t>
      </w:r>
    </w:p>
    <w:p>
      <w:r>
        <w:t>Am 2 6. Mai 2017 ( Urk. 10/K10) meldete die Arbeitgeberin einen Rückfall. Die</w:t>
      </w:r>
    </w:p>
    <w:p>
      <w:r>
        <w:t>Versicherte schilderte am 2 9. Juli 2017 ( Urk. 10/K25), sie habe a m 16. Mai</w:t>
      </w:r>
    </w:p>
    <w:p>
      <w:r>
        <w:t>2017 während einer Drehbewegung bei der Arbeit einen vernichtenden Sch merz erlebt und hörte ein Reissen im rechten inneren Knie begleitet von einer sofortige n Knieprothesenblockade und einer starke n Schwellung . Dr. Z .___ diagnostizier t e daraufhin mit Bericht vom 29. Juni 2017 (Urk. 10/M3) einen partiellen Innen bandriss am rechten Knie am 27. Januar 2017 sowie einen totalen</w:t>
      </w:r>
    </w:p>
    <w:p>
      <w:r>
        <w:t>Innenbandriss am 16. Mai 201 7. Am 13. Juli 2017 wurde die Versicherte aufgrund einer KTEP-Instabilität erneut am rechten Knie operiert (Femur-Komponenten-Wechsel und Inlay Wechsel; Urk. 10/M5 -M6 ) .</w:t>
      </w:r>
    </w:p>
    <w:p>
      <w:r>
        <w:t>Die HDI Global holte medizinische Berichte der Behandler ein und legte sie</w:t>
      </w:r>
    </w:p>
    <w:p>
      <w:r>
        <w:t>Vertrauensarzt Dr. med. A.___ , Facharzt für Innere Medizin FMH, zur ver - sicherungsmedizinischen Beurteilung</w:t>
      </w:r>
    </w:p>
    <w:p>
      <w:r>
        <w:t>vor (vgl. Stellungahme n vom 17. Juli</w:t>
      </w:r>
    </w:p>
    <w:p>
      <w:r>
        <w:t>und 16. August 2017 [ Urk. 10/M4 , Urk. 10/M7 ] ).</w:t>
      </w:r>
    </w:p>
    <w:p>
      <w:r>
        <w:t>Mit Verfügung vom 25. September 2017 (Urk. 10/K32)</w:t>
      </w:r>
    </w:p>
    <w:p>
      <w:r>
        <w:t>lehnte die HDI Global eine ab dem 17. Mai 2017 bestehende Leistungspflicht für das Ereignis vom 27. Januar</w:t>
      </w:r>
    </w:p>
    <w:p>
      <w:r>
        <w:t>2017 mit der Begründung ab , dass die behandelten Beschwerden mit überwiegender Wahrscheinlichkeit nicht mehr auf das Ereignis vom 27. Januar</w:t>
      </w:r>
    </w:p>
    <w:p>
      <w:r>
        <w:t>2017 zurückzuführen seien und für das Ereignis vom 16. Mai 2017 keine Leistungspflicht bestehe, da für dieses die Voraussetzungen für die Anerkennung als Körperschädigung nach dem Bundesgesetz über die Unfallversicherung (UVG)</w:t>
      </w:r>
    </w:p>
    <w:p>
      <w:r>
        <w:t>nicht gegeben seien.</w:t>
      </w:r>
    </w:p>
    <w:p>
      <w:r>
        <w:rPr>
          <w:b/>
        </w:rPr>
        <w:t>E. 1.3</w:t>
      </w:r>
    </w:p>
    <w:p>
      <w:r>
        <w:t>Gegen die Verfügung vom 25. September 2017 erhob die Versicherte am 25 . Oktober 2017 Einsprache (Urk. 10/K41 )</w:t>
      </w:r>
    </w:p>
    <w:p>
      <w:r>
        <w:t>mit dem Begehren, es sei die Verfügung aufzuheben und ihr seien über den 16. Mai 2017 hinaus die gesetz lichen Leistungen auszurichten.</w:t>
      </w:r>
    </w:p>
    <w:p>
      <w:r>
        <w:t>In der Folge ergänzte die HDI Global ihre Abklärungen (vgl. Urk. 10/K42-K139, Urk. 10/M9-M38). Nach erneuter Vorlage der medizinischen Berichte durch die HDI Global zog Vertrauensarzt Dr. A.___ Dr. med. B.___ , Fachärztin für Physikalische Medizin und Rehabilitation FMH, von der C.___ für die medizinische Beurteilung des Falles bei (Urk. 10/M10) .</w:t>
      </w:r>
    </w:p>
    <w:p>
      <w:r>
        <w:t>Dr. B.___</w:t>
      </w:r>
    </w:p>
    <w:p>
      <w:r>
        <w:t>holte sodann bei PD Dr. med. D.___ , Facharzt für Radiologie</w:t>
      </w:r>
    </w:p>
    <w:p>
      <w:r>
        <w:t>FMH,</w:t>
      </w:r>
    </w:p>
    <w:p>
      <w:r>
        <w:t>eine detaillierte radiologische Stellungnahme ein , welche dieser am</w:t>
      </w:r>
    </w:p>
    <w:p>
      <w:r>
        <w:t>5. September</w:t>
      </w:r>
    </w:p>
    <w:p>
      <w:r>
        <w:t>2019 (Urk. 10/M37) erstattete. Im Anschluss verfasste Dr. B.___</w:t>
      </w:r>
    </w:p>
    <w:p>
      <w:r>
        <w:t>zusammen mit Dr. med. E.___ , Facharzt für Chirurgie sowie</w:t>
      </w:r>
    </w:p>
    <w:p>
      <w:r>
        <w:t>Orthopädische Chirurgie und Traumatologie FMH, ein versicherungs - medizinisches Aktengutachten ( C.___ -Gutachten), welches sie der HDI Global am</w:t>
      </w:r>
    </w:p>
    <w:p>
      <w:r>
        <w:t>17. September 2019 (Urk. 10/M39) erstatte te n . Mit E ntscheid vom 27 . September</w:t>
      </w:r>
    </w:p>
    <w:p>
      <w:r>
        <w:t>2019 wies die HDI Global die Einsprache vom 25. Oktober 2017 gestützt auf das C.___ -Gutachten ab und hielt an ihrer Leis tungseinstellung</w:t>
      </w:r>
    </w:p>
    <w:p>
      <w:r>
        <w:t>per 17. Mai 2017 fest</w:t>
      </w:r>
    </w:p>
    <w:p>
      <w:r>
        <w:t>( Urk. 2).</w:t>
      </w:r>
    </w:p>
    <w:p>
      <w:r>
        <w:rPr>
          <w:b/>
        </w:rPr>
        <w:t>E. 2</w:t>
      </w:r>
    </w:p>
    <w:p>
      <w:r>
        <w:t>UVG zugezogen, sodass von Vornherein keine Leistungspflicht bestehe. Die Verfügung vom 25. September 2017 erweise sich somit als rechtens (S. 5-13).</w:t>
      </w:r>
    </w:p>
    <w:p>
      <w:r>
        <w:t>In ihrer Beschwerdeantwort (Urk.</w:t>
      </w:r>
    </w:p>
    <w:p>
      <w:r>
        <w:t>9 ) hielt sie ergänzend fest, beim C.___ -Gutachten handle es sich um ein versicherungsinternes Gutachten, welches unter gehöriger Wahrung des rechtlichen Gehörs der Beschwerdeführerin ergangen sei. Selbst falls es als versicherungsexternes Gutachten zu qualifizieren wäre, könnten allfällige Gehörsverletzungen im vorliegenden Beschwerdeverfahren geheilt werden, weshalb eine Aufhebung des Einspracheentscheids aus rein formellen Gründen nicht angezeigt sei. Das C.___ -Gutachten sei voll beweiskräftig und an dessen Ergebnis könne festgehalten werden. Aus ihm ergebe sich, dass der Status quo sine spätestens am 27. April 2017 erreicht worden sei, und in Bezug auf das Ereignis vom 16. Mai 2017 keine Listendiagnose vorliege (S. 9-18).</w:t>
      </w:r>
    </w:p>
    <w:p>
      <w:r>
        <w:rPr>
          <w:b/>
        </w:rPr>
        <w:t>E. 2.1</w:t>
      </w:r>
    </w:p>
    <w:p>
      <w:r>
        <w:t>Die Beschwerdegegnerin begründete ihren Einspracheentscheid (Urk. 2) damit, dem C.___ -Gutachten komme voller Beweiswert zu, weshalb an dessen Ergebnis vollumfänglich festzuhalten sei. Beim Ereignis vom 27. Januar 2017 sei es zu einer vorübergehenden Verschlimmerung eines Vorzustandes gekommen. Der</w:t>
      </w:r>
    </w:p>
    <w:p>
      <w:r>
        <w:t>Status quo sine sei spätestens per 27. April 2017 eingetreten, wobei zugunsten der Beschwerdeführerin an der verfügten Leistungseinstellung ab dem 17. Mai 2017 festgehalten werde. Beim Ereignis vom 16. Mai 2017 handle es sich nicht um einen Unfall im Rechtssinn und die Beschwerdeführerin habe sich keine Listenverletzung gemäss Art. 6 Abs.</w:t>
      </w:r>
    </w:p>
    <w:p>
      <w:r>
        <w:rPr>
          <w:b/>
        </w:rPr>
        <w:t>E. 2.2</w:t>
      </w:r>
    </w:p>
    <w:p>
      <w:r>
        <w:t>Die Beschwerdeführerin stellte sich demgegenüber auf den Standpunkt ( Urk. 1), sie sei erst mit Zustellung des Einspracheentscheides darüber informiert worden, dass die Beschwerdegegnerin ein Aktengutachten</w:t>
      </w:r>
    </w:p>
    <w:p>
      <w:r>
        <w:t>bei einem externen Sachver ständigen eingeholt habe ( C.___ -Gutachten) . Dieses Gutachten sei für die Beschwerdegegnerin für den Entscheid über die Ansprüche nach UVG die mass gebende Grundlage. Die Beschwerdegegnerin habe damit ihr rechtliches Gehör in</w:t>
      </w:r>
    </w:p>
    <w:p>
      <w:r>
        <w:t>schwerwiegender Weise verletzt, sodass eine Heilung im vorliegenden Beschwerdeverfahren nicht möglich sei (S. 5 f.). Zudem kritisierte die Beschwerdeführerin das C.___ -Gutachten aus verschiedenen Gründen, weshalb sie es als nicht beweiskräftig erachtete und den Untersuchungsgrundsatz als verletzt ansah (S. 6-11).</w:t>
      </w:r>
    </w:p>
    <w:p>
      <w:r>
        <w:rPr>
          <w:b/>
        </w:rPr>
        <w:t>E. 3</w:t>
      </w:r>
    </w:p>
    <w:p>
      <w:r>
        <w:t>.3</w:t>
      </w:r>
    </w:p>
    <w:p>
      <w:r>
        <w:t>De r Beschwerdeführer in kann indes nicht gefolgt werden, soweit sie aufgrund der festgestellten Verletzung des rechtlichen Gehörs und unter Bezugnahme auf Art. 44 ATSG dem C.___ -Gutachten bereits grundsätzlich den Beweiswert abspricht (Urk. 1 S. 5 f. ). Aus den Akten ist zu schliessen, dass es sich dabei um eine versicherungsinterne Beurteilung handelt. Eine Anwendung von Art. 44 ATSG ist damit nicht vorgesehen (BGE 136 V 117 E. 3.3.2.3). Infolgedes sen kann – im Gegensatz zu Abklärungen externer Spezialärzte – auf versiche rungsinterne Gutachten schon dann nicht mehr abgestellt werden, wenn auch nur geringe Zweifel an ihrer Zuverlässigkeit und Schlüssigkeit bestehen (Urteil des Bundes gerichts 8C_197/2014 vom 3. Oktober 2014 E. 4.2 mit weiteren Hinwei sen; vgl. zum Ganzen Kieser , ATSG-Kommentar, 3. Auflage, Zürich 2015, Art. 44 N 25). Die Frage, ob eine Streitsache zur neuen Begutachtung an die Versicherung zurückzuweisen oder allenfalls auf der Grundlage eines (einzuholenden) Ge richts gutachtens zu beurteilen ist, stellt sich erst, wenn eine Beurteilung einer versicherungsinternen oder auch -externen Stelle nicht schlüssig ist und die offene Tatfrage nicht anhand anderer Beweismittel geklärt werden kann (vgl. BGE 137 V 210 E. 4.4.1.1). Dies braucht vorliegend (noch) nicht geklärt zu werden; vorab geht es einzig darum, de r Beschwerdefüh rer in das rechtliche Gehör im Ein spracheverfahren einzuräumen.</w:t>
      </w:r>
    </w:p>
    <w:p>
      <w:r>
        <w:t>Damit ist der angefochtene Einsprache entscheid vom 27 . September 2019 (Urk. 2) aus formellen Gründen – ungeachtet der materiellen Erfolgsauss ichten der Be schwerde (vgl. E. 1 .</w:t>
      </w:r>
    </w:p>
    <w:p>
      <w:r>
        <w:rPr>
          <w:b/>
        </w:rPr>
        <w:t>E. 5</w:t>
      </w:r>
    </w:p>
    <w:p>
      <w:r>
        <w:t>hievor ) – aufzuheben. Die Sache ist an die Beschwerdegeg nerin zurückzuweisen, damit sie über den Leistungsanspruch der Beschwerdefüh rer in in einem rechtsgenügenden Verfahren neu entscheide. In diesem Sinne ist die Beschwerde gutzuheissen. 4 .</w:t>
      </w:r>
    </w:p>
    <w:p>
      <w:r>
        <w:t>Die Rückweisung der Sache an die Verwaltung gilt rechtsprechungsgemäss für die Frage der Auferlegung der Parteientschädigung als vollständiges Obsiegen (BGE 141 V 281 E. 11.1, 137 V 210 E. 7.1, 137 V 57 E. 2.2). Ausgangsgemäss steht der Beschwerdeführer in gestützt auf Art. 61 lit. g ATSG und § 34 Abs. 1 und 3 des Gesetzes über das Sozialversicherungsgericht (GSVGer) eine Prozess ent schädigung zu, welche ohne Rücksicht auf den Streitwert nach der Bedeutung der Streitsache und der Schwierigkeit des Prozesses auf Fr. 2'</w:t>
      </w:r>
    </w:p>
    <w:p>
      <w:r>
        <w:rPr>
          <w:b/>
        </w:rPr>
        <w:t>E. 9</w:t>
      </w:r>
    </w:p>
    <w:p>
      <w:r>
        <w:t>00.-- (inklusive Bar auslagen und Mehrwertsteuer) festzusetzen ist.</w:t>
      </w:r>
    </w:p>
    <w:p>
      <w:r>
        <w:t>Das Gericht erkennt: 1.</w:t>
      </w:r>
    </w:p>
    <w:p>
      <w:r>
        <w:t>Die Beschwerde wird in dem Sinne gutgeheissen, dass der angefochtene Einsprache entscheid vom 2 7. September 2019 aufgehoben und die Sache an die HDI Global SE, Hannover, Niederlassung Zürich/Schweiz zurückgewiesen wird, damit sie in einem rechtsgenügenden Verfahren im Sinne von E.3 über den Leistungsanspruch der Beschwerdeführerin neu entscheide. 2.</w:t>
      </w:r>
    </w:p>
    <w:p>
      <w:r>
        <w:t>Das Verfahren ist kostenlos. 3.</w:t>
      </w:r>
    </w:p>
    <w:p>
      <w:r>
        <w:t>Die Beschwerdeführerin wird verpflichtet, der Beschwerdeführerin eine Prozess entschädigung von Fr. 2’900 .-- (inkl. Barauslagen und MWSt) zu bezahlen. 4.</w:t>
      </w:r>
    </w:p>
    <w:p>
      <w:r>
        <w:t>Zustellung gegen Empfangsschein an: - Rechtsanwalt Markus Loher - Rechtsanwalt Martin Bürkle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