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UV.2019.00198 vom 6. Dezember 2019</w:t>
      </w:r>
    </w:p>
    <w:p>
      <w:r>
        <w:t>ZH Sozialversicherungsgericht, 2019-12-06, DE</w:t>
      </w:r>
    </w:p>
    <w:p>
      <w:r>
        <w:rPr>
          <w:b/>
        </w:rPr>
        <w:t xml:space="preserve">Quelle: </w:t>
      </w:r>
      <w:r>
        <w:t>https://mcp.opencaselaw.ch/entscheid/zh_sozialversicherungsgericht_UV.2019.00198</w:t>
      </w:r>
    </w:p>
    <w:p>
      <w:r>
        <w:t>FR: ZH_SOZIALVERSICHERUNGSGERICHT UV.2019.00198 du 6 décembre 2019</w:t>
      </w:r>
    </w:p>
    <w:p>
      <w:r>
        <w:t>IT: ZH_SOZIALVERSICHERUNGSGERICHT UV.2019.00198 del 6 dicembre 2019</w:t>
      </w:r>
    </w:p>
    <w:p>
      <w:pPr>
        <w:pStyle w:val="Heading2"/>
      </w:pPr>
      <w:r>
        <w:t>Erwägungen</w:t>
      </w:r>
    </w:p>
    <w:p>
      <w:r>
        <w:rPr>
          <w:b/>
        </w:rPr>
        <w:t>E. 1</w:t>
      </w:r>
    </w:p>
    <w:p>
      <w:r>
        <w:t>6. Oktober 2017 stellte sie diese – unter Hinweis auf das Fehlen eines adäquaten Kausalzusammenhangs zwischen dem Unfallereignis und den geklagten Beschwerden – rückwirkend per 3 0. Juni 2017 ein (Urk. 10A/1051). Dagegen erhob der Versicherte am 1 4. November 2017 Einsprache ( Urk. 10A/1052) und gab s eine Begründung hierzu am 2 0. Dezember 2017 zu Protokoll (Urk. 10A/1053). Nachdem er sich wiederholt nach dem Verfahrens stand erkundigt ( Urk. 10A/1054, 10A/1057, 10A/1059-60) und ein Gutachten von B.___</w:t>
      </w:r>
    </w:p>
    <w:p>
      <w:r>
        <w:t>aufgelegt (Urk. 10M/1056) hatte , reichte er beim hiesigen Gericht am 4. April 2019 eine Rechtsverzögerungsbeschwerde ein (Urk. 10A/1062). Mit am 2 5. Juni 2019 erlassene m</w:t>
      </w:r>
    </w:p>
    <w:p>
      <w:r>
        <w:t>Einspracheentscheid hielt die Allianz an ihrer Leis tungseinstellung fest ( Urk. 10A/1067 = Urk. 2). Mit Gerichtsverfügung vom 2. Juli 2019 wurde das Beschwerdeverfahren – angesichts des zwischenzeitlich dahingefallenen Rechtsschutzinteresses – als gegenstandslos geworden abge schrieben und dem Versicherten wurde, da die Beschwerde aufgrund des konti nuierlichen Ausbleibens des geforderten Einspracheentscheids aller Voraussicht nach gutzuheissen gewesen wäre, eine Prozessentschädigung zugesprochen (Pro zess-Nr. UV.2019.00091 [ Urk. 10A/1069]).</w:t>
      </w:r>
    </w:p>
    <w:p>
      <w:r>
        <w:rPr>
          <w:b/>
        </w:rPr>
        <w:t>E. 2</w:t>
      </w:r>
    </w:p>
    <w:p>
      <w:r>
        <w:t>Mit Eingabe vom 2 3. August 2019 erhob X.___ Beschwerde mit folgendem Rechtsbegehren ( Urk. 1 S. 2): «1. Es sei der Einspracheentscheid der Beschwerdegegnerin vom 2 5. Juni 2019 aufzuheben. 2. Die Beschwerdegegnerin sei zu verpflichten, dem Beschwerdeführer bis zum Erreichen des Endzustandes und/oder bis zum Bezug einer Rente die Leistungen im bisherigen, gesetzlich und vertraglich geschuldeten Umfang auszurichten . 3. Die Beschwerdegegnerin sei zu verpflichten, die gesetzlich und vertrag lich geschuldeten Leistungen seit Einstellung der Zahlungen per 3 0. Juni 2017 zuzüglich 5 % Zins nachzu z ahlen.</w:t>
      </w:r>
    </w:p>
    <w:p>
      <w:r>
        <w:rPr>
          <w:b/>
        </w:rPr>
        <w:t>E. 2.1</w:t>
      </w:r>
    </w:p>
    <w:p>
      <w:r>
        <w:t>Die Parteien haben nach Art. 29 Abs. 2 der Bundesverfassung ( BV ) und Art. 42 Satz 1 des Bundesgesetzes über den Allgemeinen Teil des Sozialversicherungs rechts ( ATSG ) Anspruch auf recht liches Gehör . Sie müssen nicht angehört werden vor Verfügungen, die d urch Einsprache anfechtbar sind ( Art. 42 Satz 2 ATSG; BGE 134 V 97 E. 2.8.1).</w:t>
      </w:r>
    </w:p>
    <w:p>
      <w:r>
        <w:rPr>
          <w:b/>
        </w:rPr>
        <w:t>E. 2.2</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(BGE 132 V 368 E. 3.1 mit Hinweisen).</w:t>
      </w:r>
    </w:p>
    <w:p>
      <w:r>
        <w:rPr>
          <w:b/>
        </w:rPr>
        <w:t>E. 2.3</w:t>
      </w:r>
    </w:p>
    <w:p>
      <w:r>
        <w:t>Der Anspruch auf rechtliches Gehör ist formeller Natur. Daher führt dessen Ver 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 rung des rechtlichen Gehörs an die Verwaltung ist im Sinne einer Hei lung des Mangels selbst bei einer schwerwiegenden Verletzung des rechtlichen Gehörs dann abzusehen, wenn und soweit die Rückweisung zu einem formalis tischen Leerlauf und damit zu unnötigen Verzögerungen führen würde, die mit dem (der Anhörung gleichgestellten) Interesse der betroffenen Partei an einer beförderli chen Beurteilung der Sache nicht zu vereinbaren wären ( vgl. BGE 132 V 387 E. 5.1 mit Hinweisen). 3. 3.1</w:t>
      </w:r>
    </w:p>
    <w:p>
      <w:r>
        <w:t>Im Rahmen des Einspracheverfahrens ersuchte die Beschwerdegegnerin mit Schreiben vom 1 6. Mai 2019 Dr. C.___ , Facharzt FMH für Neurologie, um eine Beurteilung der medizinischen Situation und insbesondere um Beantwortung von Fragen zur Kausalität, der Arbeitsfähigkeit und des Endzustands (Urk. 10A/1063). In der Folge erstattete er am 2 3. Mai 2019 sein Aktengutachten (Urk. 10M/26). Dieses diente als medizinische Entscheidungsgrundlage für den abschlägigen Einspracheentscheid vom 2 5. Juni 2019 ( Urk. 2). 3.2</w:t>
      </w:r>
    </w:p>
    <w:p>
      <w:r>
        <w:t>Die Beschwerdegegnerin unterliess es, dem Beschwerdeführer vor Erlass des nun angefochtenen Einspracheentscheids</w:t>
      </w:r>
    </w:p>
    <w:p>
      <w:r>
        <w:t>das Gutachten zur Stellungnahme zuzustel len. Vielmehr stellte sie ihm jenes erst nach Aufforderung am 4. Juli 2019 zu ( Urk. 10A/1070-1071). Dies stellt – insbesondere da das Gutachten eine wesent liche Grundlage des Einspracheentscheids bildete (vgl. Urk. 2 Ziff. 32 und 35) – eine schwere Verletzung des rechtlichen Gehörs dar.</w:t>
      </w:r>
    </w:p>
    <w:p>
      <w:r>
        <w:t>Entgegen der Beschwerde gegnerin ( Urk.</w:t>
      </w:r>
    </w:p>
    <w:p>
      <w:r>
        <w:rPr>
          <w:b/>
        </w:rPr>
        <w:t>E. 4</w:t>
      </w:r>
    </w:p>
    <w:p>
      <w:r>
        <w:t>. Eventualiter sei der Einspracheentscheid der Beschwerdegegnerin vom 2 5. Juni 2019 aufzuheben und die Sache zur Neubeurteilung an die Be schwerdegegnerin zurückzuweisen.</w:t>
      </w:r>
    </w:p>
    <w:p>
      <w:r>
        <w:rPr>
          <w:b/>
        </w:rPr>
        <w:t>E. 5</w:t>
      </w:r>
    </w:p>
    <w:p>
      <w:r>
        <w:t>. Unter Kosten- und Entschädigungsfolge zu Lasten der Beschwerdegeg nerin.»</w:t>
      </w:r>
    </w:p>
    <w:p>
      <w:r>
        <w:t>In prozessualer Hinsicht ersuchte er um Durchführung einer öffentlichen Ver handlung, um Beizug der vorinstanzlichen Akten und um Einholung eines ge richtlichen Gutachtens ( Urk. 1 S. 2). Mit Beschwerdeantwort vom 4. Dezember 2019 schloss die Allianz auf Abweisung der Beschwerde, soweit darauf eingetre ten werden könne. Betreffend die prozessualen Anträge um Durchführung einer öffentlichen Verhandlung und Einholung eines Gerichtsgutachtens beantragte sie ebenfalls deren Abweisung ( Urk.</w:t>
      </w:r>
    </w:p>
    <w:p>
      <w:r>
        <w:rPr>
          <w:b/>
        </w:rPr>
        <w:t>E. 9</w:t>
      </w:r>
    </w:p>
    <w:p>
      <w:r>
        <w:t>- Allianz Suisse Versicherungs-Gesellschaft AG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