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UV.2019.00177 vom 7. Januar 2021</w:t>
      </w:r>
    </w:p>
    <w:p>
      <w:r>
        <w:t>ZH Sozialversicherungsgericht, 2021-01-07, DE</w:t>
      </w:r>
    </w:p>
    <w:p>
      <w:r>
        <w:rPr>
          <w:b/>
        </w:rPr>
        <w:t xml:space="preserve">Quelle: </w:t>
      </w:r>
      <w:r>
        <w:t>https://mcp.opencaselaw.ch/entscheid/zh_sozialversicherungsgericht_UV.2019.00177</w:t>
      </w:r>
    </w:p>
    <w:p>
      <w:r>
        <w:t>FR: ZH_SOZIALVERSICHERUNGSGERICHT UV.2019.00177 du 7 janvier 2021</w:t>
      </w:r>
    </w:p>
    <w:p>
      <w:r>
        <w:t>IT: ZH_SOZIALVERSICHERUNGSGERICHT UV.2019.00177 del 7 gennaio 2021</w:t>
      </w:r>
    </w:p>
    <w:p>
      <w:pPr>
        <w:pStyle w:val="Heading2"/>
      </w:pPr>
      <w:r>
        <w:t>Erwägungen</w:t>
      </w:r>
    </w:p>
    <w:p>
      <w:r>
        <w:rPr>
          <w:b/>
        </w:rPr>
        <w:t>E. 1.1</w:t>
      </w:r>
    </w:p>
    <w:p>
      <w:r>
        <w:t>Am 1. Januar 2017 sind die am 2 5. September 2015 bzw. am 9. November 2016 verabschiedeten geänderten Bestimmungen des Bundesgesetzes über die Unfall versicherung (UVG) und der Verordnung über die Unfallversicherung (UVV)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sieht Absatz 1 der Übergangsbestimmungen zur Änderung vom 2 5. September 2015 des UVG vor, dass Versicherungsleistungen für Unfälle, die sich – wie vorliegend – vor dem 1. Januar 2017 ereignet haben, nach bisherigem Recht gewährt werden. Es kommen deshalb die bis 3 1. Dezember 2016 gültig gewesenen Normen zur Anwendung und werden in dieser Fassung zitiert.</w:t>
      </w:r>
    </w:p>
    <w:p>
      <w:r>
        <w:rPr>
          <w:b/>
        </w:rPr>
        <w:t>E. 1.2</w:t>
      </w:r>
    </w:p>
    <w:p>
      <w:r>
        <w:t>Nach Art.</w:t>
      </w:r>
    </w:p>
    <w:p>
      <w:r>
        <w:rPr>
          <w:b/>
        </w:rPr>
        <w:t>E. 1.3</w:t>
      </w:r>
    </w:p>
    <w:p>
      <w:r>
        <w:t>Nach Art. 19 Abs. 1 und Art. 24 Abs. 2 UVG</w:t>
      </w:r>
    </w:p>
    <w:p>
      <w:r>
        <w:t>sowie der Rechtsprechung ist der Fall unter Einstellung der vorübergehenden Leistungen und Prüfung des Anspruchs auf eine Invalidenrente und eine Integritätsentschädigung abzu schliessen, wenn von der Fortsetzung der ärztlichen Behandlung keine namhafte Besserung des Gesundheitszustandes der versicherten Person mehr erwartet wer den kann und allfällige Eingliederungsmassnahmen der Invalidenversicherung abgeschlossen sind (vgl. Urteil des Bundesgerichts 8C_888/2013 vom 2. Mai 2014 E. 4.1, vgl. auch Urteil 8C_639/2014 vom 2. Dezember 2014 E. 3). 2.</w:t>
      </w:r>
    </w:p>
    <w:p>
      <w:r>
        <w:t>2.1</w:t>
      </w:r>
    </w:p>
    <w:p>
      <w:r>
        <w:t>Die Beschwerdegegnerin erwog, gemäss Gutachten der B.___ sei der Beschwerdeführer seit dem 1 0. Juni 2015 in einer angepassten Tätig keit voll arbeitsfähig. Eine Verbesserung der Arbeitsfähigkeit sei damals operativ und therapeutisch als nicht mehr möglich erachtet worden ( Urk. 2 Ziff. III.2 ; Urk.</w:t>
      </w:r>
    </w:p>
    <w:p>
      <w:r>
        <w:rPr>
          <w:b/>
        </w:rPr>
        <w:t>E. 5</w:t>
      </w:r>
    </w:p>
    <w:p>
      <w:r>
        <w:t>erlitt der Versicherte einen Herzi nfarkt bei koro narer Dreigefäss erkrankung ( Urk. 15/254).</w:t>
      </w:r>
    </w:p>
    <w:p>
      <w:r>
        <w:rPr>
          <w:b/>
        </w:rPr>
        <w:t>E. 9</w:t>
      </w:r>
    </w:p>
    <w:p>
      <w:r>
        <w:t>und 17) und belegte (Urk. 10/1-5, 11 und 18). Die Mobiliar schloss in der Beschwerdeantwort vom 25. September 2019 auf Abweisung der Beschwerde ( Urk. 14). Mit Verfügung vom 2 8. Oktober 2019 bestellte das Gericht dem Beschwerdeführer eine unent geltliche Rechtsvertreterin in der Person von Rechtsanwältin Herenda und ord nete einen zweiten Schriftenwechsel an ( Urk. 19). In der Replik vom 12 . Februar 2020 ( Urk. 23) und der Duplik vom 2 6. Februar 2020 ( Urk. 27) hielten die Parteien an ihren Anträgen fest. Die Duplik wurde dem Versicherten mit Verfügung vom 2 7. Februar 2020 zur Kenntnis gebracht ( Urk. 28).</w:t>
      </w:r>
    </w:p>
    <w:p>
      <w:r>
        <w:t>Mit Eingabe vom 1. April 2020 ( Urk. 29) reichte der Versicherte neue Arztberichte ein ( Urk. 30/1-2). Hierzu nahm die Mobiliar mit Eingabe vom 2 7. April 2020 Stel lung ( Urk. 33), die dem Versicherten am 3 0. April 2020 zur Kenntnisnahme zugestellt wurde ( Urk. 34). Mit Eingabe vom 1 1. Mai 2020 beantragte die Mobiliar unter Hinweis auf ein neues polydisziplinäres Gutachten den Beizug der Akten der Invalidenversicherung ( Urk. 35). Auf Anfrage des Gerichts ( Urk. 36) reichte sie mit Schreiben vom 1 4. Mai 2020 ( Urk. 37) das internistische, kardiologische, psychiatrische und orthopädische Gutachten der MEDAS G.___ vom 1 6. Januar 2020 ( Urk. 38/23) sowie zusätzlich das vollständige Dossier der Inva lidenversicherung seit der Neuanmeldung im Januar 2019 ein ( Urk. 38/1-30). Zu den neuen Unterlagen nahm der Versicherte nach mehrmaliger Fristerstreckung ( Urk. 39-42) mit Eingabe vom 2. November 2020 Stellung ( Urk. 43). Die Stellung nahme wurde der Mobiliar mit Verfügung vom 4. November 2020 zur Kenntnis nahme zugestellt ( Urk. 44). Das Gericht zieht in Erwägung: 1.</w:t>
      </w:r>
    </w:p>
    <w:p>
      <w:r>
        <w:rPr>
          <w:b/>
        </w:rPr>
        <w:t>E. 10</w:t>
      </w:r>
    </w:p>
    <w:p>
      <w:r>
        <w:t>Abs. 1 UVG hat die versicherte Person Anspruch auf die zweckmäs sige Behandlung ihrer Unfallfolgen. Ist sie infolge des Unfalles voll oder teilweise arbeitsunfähig ( Art. 6 des Bundesgesetzes über den Allgemeinen Teil des Sozial versicherungsrechts, ATSG), so steht ihr ein Taggeld zu ( Art. 16 Abs. 1 UVG). Wird sie infolge des Unfalles zu mindestens 10 % invalid ( Art. 8 ATSG), so hat sie Anspruch auf eine Invalidenrente ( Art. 18 Abs. 1 UVG). Nach Art. 24 Abs. 1 UVG hat die versicherte Person überdies Anspruch auf eine angemessene Integritätsentschädigung, wenn sie durch den Unfall eine dauernde erhebliche Schädigung der körperlichen, geistigen oder psychischen Integrität erleidet.</w:t>
      </w:r>
    </w:p>
    <w:p>
      <w:r>
        <w:t>Der Unfallversicherer haftet für einen Gesundheitsschaden jedoch nur insoweit, als dieser in einem natürlichen und adäquaten Kausalzusammenhang zum versi cherten Ereignis steht (BGE 129 V 177 E. 3.1; Urteil des Bundesgerichts 8C_834/2018 vom 1 9. März 2019 E. 3.1).</w:t>
      </w:r>
    </w:p>
    <w:p>
      <w:r>
        <w:rPr>
          <w:b/>
        </w:rPr>
        <w:t>E. 14</w:t>
      </w:r>
    </w:p>
    <w:p>
      <w:r>
        <w:t>Art. 7 f.). 2 .2</w:t>
      </w:r>
    </w:p>
    <w:p>
      <w:r>
        <w:t>Der Beschwerdeführer hielt indessen</w:t>
      </w:r>
    </w:p>
    <w:p>
      <w:r>
        <w:t>dafür , der Fallabschluss per 31. Juli 2016 sei verfrüht erfolgt . Eine Entfernung des Osteosynthesematerials sei damals noch nicht möglich gewesen ( Urk. 1 S. 5) . Auch sei es sein Recht, sich gegen einen Eingriff bei Prof . C.___ zu entscheiden. Die Einstellung der Taggelder sei zu Unrecht als Bestrafung und verfrüht erfolgt ( Urk. 23 Ziff. 1-2).</w:t>
      </w:r>
    </w:p>
    <w:p>
      <w:r>
        <w:t>N ach der letzten Operation bestünden gemäss Gutachten der MEDAS G.___ und Dr. D.___</w:t>
      </w:r>
    </w:p>
    <w:p>
      <w:r>
        <w:t>weiterhin orthopädische B eschwerden . Dabei dürfe nicht von realitätsfremden Einsatzmöglichkeiten auf dem hypothetischen Arbeitsmarkt ausgegangen werden</w:t>
      </w:r>
    </w:p>
    <w:p>
      <w:r>
        <w:t>( Urk. 29; Urk. 43 S. 2) . Das verfügte Invalideneinkommen sei realitätsfremd, zumal er – wenn überhaupt – nur noch in leidensangepassten Tätigkeit en arbeitsfähig sei und noch nie so viel verdient habe . Er sei aufgrund des komplizierten Heilungsverlaufs viele Jahre nicht mehr erwerbstätig gewesen und habe immer körperlich gearbeitet. Da er sehr isoliert lebe, hätten sich zudem seine Deutschkenntnisse erheblich verschlechtert . Demnach verfüge er nicht über den Lebenslauf und die intellektuellen Voraussetzungen für eine Verwertung der Restarbeitsfähigkeit im Kompetenzniveau 2 ( Urk. 1 S. 9 f. ; Urk. 23 Ziff. 5 f. ).</w:t>
      </w:r>
    </w:p>
    <w:p>
      <w:r>
        <w:t>Bei der Integritätsentschädigung sei zu beachten, dass sich die Operationen auf die Funktionsfähigkeit des Knies ausgewirkt hätten ( etwa eine Giving - way -Symptomatik ) , eine Pseud arthrose vorhanden sei und eine Prothese erfor derlich sein werde. Gemäss der Suva-Tabelle 6 sei bei einer schweren Gelenkinstabilität ein e Entschädigung von 20 bis 30 % geschuldet . Noch offen sei die Abklärung der Arthrose ( Urk. 1 S. 11; Urk. 23 Ziff. 7 f. ). Zu berücksichtigen sei zudem</w:t>
      </w:r>
    </w:p>
    <w:p>
      <w:r>
        <w:t>eine Integritätseinbusse von mindestens 70 % für die psychische Beeinträchtigung , verursacht durch den Unfall ( Urk. 1 S. 12).</w:t>
      </w:r>
    </w:p>
    <w:p>
      <w:r>
        <w:t>Weiter abzuklären und miteinzubeziehen seien schliesslich die Beschwerden der HWS ( Urk. 1 S. 13) . Nachdem die bisherigen Gutachten nur den Beweiswert von Parteigutachten hätten und Dr. E.___ von der Beschwerdegegnerin bezahlt werde , sei ein unabhängiges orthopädisches Gutachten nötig ( Urk. 43 S. 3 ; ferner Urk. 2 Ziff. III.27 und Urk. 23 Ziff. 4 ). 3. 3.1</w:t>
      </w:r>
    </w:p>
    <w:p>
      <w:r>
        <w:t>Für die Beurteilung der Streitsache in zeitlicher Hinsicht massgebend ist der Sach verhalt, wie er sich bis zum Erlass des angefochtenen Einspracheentscheids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