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UV.2019.00176 vom 8. Februar 2020</w:t>
      </w:r>
    </w:p>
    <w:p>
      <w:r>
        <w:t>ZH Sozialversicherungsgericht, 2020-02-08, DE</w:t>
      </w:r>
    </w:p>
    <w:p>
      <w:r>
        <w:rPr>
          <w:b/>
        </w:rPr>
        <w:t xml:space="preserve">Quelle: </w:t>
      </w:r>
      <w:r>
        <w:t>https://mcp.opencaselaw.ch/entscheid/zh_sozialversicherungsgericht_UV.2019.00176</w:t>
      </w:r>
    </w:p>
    <w:p>
      <w:r>
        <w:t>FR: ZH_SOZIALVERSICHERUNGSGERICHT UV.2019.00176 du 8 février 2020</w:t>
      </w:r>
    </w:p>
    <w:p>
      <w:r>
        <w:t>IT: ZH_SOZIALVERSICHERUNGSGERICHT UV.2019.00176 del 8 febbraio 2020</w:t>
      </w:r>
    </w:p>
    <w:p>
      <w:pPr>
        <w:pStyle w:val="Heading2"/>
      </w:pPr>
      <w:r>
        <w:t>Erwägungen</w:t>
      </w:r>
    </w:p>
    <w:p>
      <w:r>
        <w:rPr>
          <w:b/>
        </w:rPr>
        <w:t>E. 1</w:t>
      </w:r>
    </w:p>
    <w:p>
      <w:r>
        <w:t>Die 1961 geborene und seit 1994 als Mitarbeiterin Hauswirtschaft tätig gewesene X.___ war bei der AXA Versicherungen AG (AXA) obligatorisch gegen die Folgen von Unfällen versichert. Gemäss Schadenmeldung vom 30 . Januar 2013 rutschte</w:t>
      </w:r>
    </w:p>
    <w:p>
      <w:r>
        <w:t>X.___ am 17. Januar 2013 auf einer vereisten Strasse aus und verletzte sich dabei am linken Fuss (Urk. 11/ A1 ) . Gleichentags begab sie sich in ärzt liche Behand lung, wo unter anderem eine Fraktur des oberen Sprunggelenks (OSG) links mit lateraler Malleolarfraktur Typ Weber B, Ausriss eines Volkmann-Dreiecks</w:t>
      </w:r>
    </w:p>
    <w:p>
      <w:r>
        <w:t>und mit Avulsion dorsaler Malleolus</w:t>
      </w:r>
    </w:p>
    <w:p>
      <w:r>
        <w:t>medialis</w:t>
      </w:r>
    </w:p>
    <w:p>
      <w:r>
        <w:t>festgestellt wurde. Am 22. Janu ar 2013 erfolgte die osteosynthetische Versorgung der Fraktur und am 1. Februar 2013 wurde X.___ mit gutem Allgemein zustand und reizlosen Wunderverhältnissen an Stöcken mobil entlassen (Urk. 11/M2). Ihre Arbeitstätigkeit konnte X.___ ab 27. Mai</w:t>
      </w:r>
    </w:p>
    <w:p>
      <w:r>
        <w:t>2013 mit einem Pensum von 40 % wiederaufnehmen (Urk. 11/M11), ab 7. August 2013 auf 70 % steigern (Urk. 11/M14) und war seit 18. November 2013 wieder zu 100 % arbeitsfähig (Urk. 11/M21). Im Auftrag der Vorsorgeeinrichtung von X.___ wurde sie am 24. Oktober 2013 be gutachtet (Expertise vom 17. Dezember 2013, Urk. 11/M20). Nach abgeschlossener ossärer Konsolidation erfolgte am 7. Januar 2014 die Entfernung des Osteo syn the sematerials (Urk. 11/M23). Per 11. Februar 2014 konnte X.___ ihre Arbeit wieder zu 100 % aufnehmen (Urk. 11/M25). Im Okto b er 2014 klagte X.___ über</w:t>
      </w:r>
    </w:p>
    <w:p>
      <w:r>
        <w:t>Beschwerden im Bereich des Rück fusses und der Ti bialis</w:t>
      </w:r>
    </w:p>
    <w:p>
      <w:r>
        <w:t>posterior Sehne (Urk. 11/M33) , weshalb am 24. April 2015 (Urk. 11/M41) und am 10. Juli 2015 intraartikuläre Infiltrationen (Urk. 11/M50) vor genommen wurden . Am 10. Dezember 2015 wurde eine OSG-Arthroskopi e</w:t>
      </w:r>
    </w:p>
    <w:p>
      <w:r>
        <w:t>durch ge führt (Urk. 11/M50). Nach Einholung einer ärztlichen Zweitmeinung (Urk. 11/ M 56) erfolgte n</w:t>
      </w:r>
    </w:p>
    <w:p>
      <w:r>
        <w:t>im Herbst 2016 eine AMIC-Plastik mediale Talusschulter links (Urk. 11/M59 ) und am 17. Februar</w:t>
      </w:r>
    </w:p>
    <w:p>
      <w:r>
        <w:t>2017 eine medialisierende</w:t>
      </w:r>
    </w:p>
    <w:p>
      <w:r>
        <w:t>Calcaneusosteotomie links (Urk. 11 /M69).</w:t>
      </w:r>
    </w:p>
    <w:p>
      <w:r>
        <w:t>Im Auftrag der Vorsorgeeinrichtung wurde X.___</w:t>
      </w:r>
    </w:p>
    <w:p>
      <w:r>
        <w:t>am 14. Juli 2017 erneut begutachtet (Expertise vom 22. September 2017, Urk. 11/M82 ) und auch die AXA gab ei ne chirurgisch-/ traumat ologische Untersuchung beim bera tenden Arzt in Auftrag (Expertise vom 5. Februar 2018, Urk. 11/M86). Mit Verfü gung vom 7. Mai 2018 stellte die A XA die Heilungskostenleistungen und die Tag geld leistungen per 31. Mai 2018 ein und sprach X.___ eine Invaliden rente von 10 % ( monatliche Normalrente von Fr. 408.30 ) und entsprechend einer Integritätseinbusse von 15 % eine Integritätsentschädigung von Fr. 18'900.-- zu (Urk. 11/A118). Gegen diese Verfügung erhob X.___ am 23. Juli 2018 Einsprache (Urk. 11/A139). Zwischenzeitlich sprach die Sozialversicherungsanstalt des Kantons Zürich, IV-Stelle, mit Verfügung vom 28. August 2018 eine vom 1. November 2016 bis 31. Mai 2018 befristete halbe Rente der Invalidenversicherung zu (Urk. 11/A142). Mit Einspracheentschei d vom 4. Juni 2019 wies die AXA die Einsprache ab (Urk. 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nach bisherigem Recht gewährt werden (Absatz 1 der genannten Übergangsbestimmungen).</w:t>
      </w:r>
    </w:p>
    <w:p>
      <w:r>
        <w:t>Der hier zu beurteilende Unfall hat sich am 17. Januar 2013 ereignet, weshalb die bis 31. Dezember 2016 gültig gewesenen Normen auf den vorliegenden Fall An wendung finden und in dieser Fassung zitiert werden.</w:t>
      </w:r>
    </w:p>
    <w:p>
      <w:r>
        <w:rPr>
          <w:b/>
        </w:rPr>
        <w:t>E. 1.2</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 invalid ( Art. 8 des Bundes ge setzes über den Allgemeinen Teil des Sozialversicherungsrechts [ATSG]), so hat sie An spruch auf eine Invalidenrente ( Art. 18 Abs. 1 UVG). Der Rentenanspruch ent steh t, wenn von der Fortsetzung der ärztlichen Behandlung keine namhafte Bes se rung des Gesundheitszustandes erwartet werden kann und allfällige Einglie derungs massnahmen der Invalidenversicherung abgeschlossen sind. Mit dem Ren tenbe ginn fallen die Heilbehandlung und die Taggeldleistungen dahin (Art.</w:t>
      </w:r>
    </w:p>
    <w:p>
      <w:r>
        <w:t>19 Abs. 1 UVG).</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 hänge und in der Beurteilung der medizinischen Situation einleuchtet und ob die Schlussfolgerungen in der Expertise begründet sind (BGE 134 V 231 E. 5.1, 125 V 351 E. 3a, 122 V 157 E. 1c).</w:t>
      </w:r>
    </w:p>
    <w:p>
      <w:r>
        <w:rPr>
          <w:b/>
        </w:rPr>
        <w:t>E. 2</w:t>
      </w:r>
    </w:p>
    <w:p>
      <w:r>
        <w:t>Hiergegen erhob X.___ am 4. Juli 2019 (Urk. 1) Beschwerde und bean tragte, der Einspracheentscheid sei abzuändern und ihr sei en ei ne höhere Rente und eine höh ere Integritätsentschädigung zuzusprechen. Eventualiter seien weitere medi zinische Ab klärungen vorzunehmen. Mit Beschwerdeantwort vom 5. November 2019 beantragte die AXA , die Beschwerde sei abzuweisen (Urk. 9) , was der Beschwer de führerin mit Verfügung vom 7. November</w:t>
      </w:r>
    </w:p>
    <w:p>
      <w:r>
        <w:t>2019 zur Kenntnis gebracht wur de (Urk. 12 ). Die gegen die Verfügung der Invalidenversicherung vom 28. August 2018 erhobene Beschwerde, welche Gegenstand des Verfahrens IV.2018.00849 bildet, wurde mit Urteil heutigen Datums abgewiesen. Das Gericht zieht in Erwägung: 1.</w:t>
      </w:r>
    </w:p>
    <w:p>
      <w:r>
        <w:rPr>
          <w:b/>
        </w:rPr>
        <w:t>E. 2.1</w:t>
      </w:r>
    </w:p>
    <w:p>
      <w:r>
        <w:t>Die Beschwerdegegnerin stellte im angefochtenen Entscheid auf die Beurteilung ihres beratenden Arztes ab und erwog, dass es der Beschwerdeführerin unter Beachtung de s Belastungsprofils zumutbar sei, zu 100 % einer leidensan ge passten Tätigkeit nachzugehen. Bei einem Einkommensvergleich resultiere ein Invaliditätsgrad von 10 % . Die Integritätseinbusse sei anhand der neuen Unter suchungsbefunde und des CTs am unteren Ansatz wert für eine schwere Arthrose de s oberen Sprunggelenks auf 15 % festzusetzen (Urk. 2).</w:t>
      </w:r>
    </w:p>
    <w:p>
      <w:r>
        <w:rPr>
          <w:b/>
        </w:rPr>
        <w:t>E. 2.2</w:t>
      </w:r>
    </w:p>
    <w:p>
      <w:r>
        <w:t>Demgegenüber wandte die Beschwerdeführerin ein, auf den Bericht des Vertrau ensarztes der Beschwerdegegnerin könne nicht abgestellt werden: Der Arzt habe ein Belastungsprofil definiert, womit der Beschwerdeführerin eine leidensan ge passte Tätigkeit im Umfang von 100 % zumutbar sei. Dieses Belastungsprofil ent spreche allerdings demjenigen ihrer angestammten Tätigkeit als Reinigungs fach frau, welche ihr gemäss demselben Arzt nur noch zu 30 % zugemutet werden kön ne . Der Vertrauensarzt begründe nicht, weshalb dieses von ihm definierte Be lastungsprofil zumutbar sein sollte. Auch fehle eine Auseinandersetzung mit dem von der Vorsorgeeinrichtung in Auftrag geg ebenen Gutachten, welches von einem Facharzt für Orthopädie erstattet worden sei. Im Weitern erachte auch der RAD-Arzt der IV-Stelle das im Auftrag der Vorsorgeeinri chtung erstattete Gutachten als nachvollziehbar. Deshalb k önne nicht ohne Weiteres auf die vertrauens ärzt liche Einschätzung abgestellt werden. Allenfalls wären weitere medizinische Ab klärungen durchzuführen. Im Übrigen sei bei der Berechnung des Invalidenein kommens ein leidensbedingter Abzug von mindestens 20</w:t>
      </w:r>
    </w:p>
    <w:p>
      <w:r>
        <w:t>% vorzunehmen (Urk. 1).</w:t>
      </w:r>
    </w:p>
    <w:p>
      <w:r>
        <w:rPr>
          <w:b/>
        </w:rPr>
        <w:t>E. 3.1</w:t>
      </w:r>
    </w:p>
    <w:p>
      <w:r>
        <w:t>Dem vertrauensärztlichen Gutachten von Dr. med. Y.___ , FMH für ortho pädische Chirurgie, vom 22. September 2017 zu Händen der beruflichen Vor sorgeeinrichtung (Urk. 11/M82) können folgende Diagnose n entnommen wer den (Urk. 11/M82 S. 5): - Massive posttraumatische OSG-Arthrose links bei: - Status nach OSG-Fraktur links ( Malleolarfraktur Typ Weber B-C) vom 17.01.2013 - Status nach partieller OSME distale Tibia und Fibula links vom 7.01.2014 - Status nach Revision mit Schraubenosteosynthese Malleolus</w:t>
      </w:r>
    </w:p>
    <w:p>
      <w:r>
        <w:t>medialis , Plattenosteosynthese Malleolus</w:t>
      </w:r>
    </w:p>
    <w:p>
      <w:r>
        <w:t>lateralis , Refixation</w:t>
      </w:r>
    </w:p>
    <w:p>
      <w:r>
        <w:t>Volkmann’sches Dreieck links vom 22.01.2013 - Posttraumatische erhebliche OSG-Instabilität bei Status nach einer Malleolarfraktur Typ Weber B-C mit vorderer Syndesmosen -Läsion und entsprechender Gabelsprengung - Status nach Schraubenentfernung des Malleolus</w:t>
      </w:r>
    </w:p>
    <w:p>
      <w:r>
        <w:t>medialis und Abtra gung einer störenden Exostose am Fuss links vom 10.12.2015 - AMIC Plastik mediale Talusschulter links vom 20.08.2016 - Medialisierende</w:t>
      </w:r>
    </w:p>
    <w:p>
      <w:r>
        <w:t>Calcaneusosteotomie links vom 20.02.2017 Zur Arbeitsfähigkeit führte Dr. Y.___ aus, dass aufgrund des bisher nicht zu friedenstellenden Ergebnisses bei der schweren OSG-Verletzung mit über wie gen der Wahrscheinlichkeit eine erneute, wahrscheinlich definitive Korrektur des OSG vorgenommen werden müsse. Da die Beschwerdeführerin eine weitere Be hand lung benötige, sei es zum heutigen Zeitpunkt zu früh, Angaben zur defini ti ven Arbeitsfähigkeit zu machen (Urk. 11/M82 S. 6). Dr. Y.___ hielt sodann fest, dass die Beschwerdeführerin angesichts der starken Schwellungsneigung, was zu entsprechend starken Schmerzen am Fuss führe, unverändert und zum Teil an Stö cken mobilisiert eine Arbeit in einem Büro oder sitzend an einer Rezep tion mit einem Pensum von 50 % bewältigen könnt e. Weiter empfahl Dr. Y.___ eine OSG- Arthrodese . Nach 1.5 Jahren könne sodann eine Stellungnahme zur Belastbarkeit des Fusses erfolgen. Die Situation lasse sich in medizinischer Hin sicht mit einem Salvage -Procedere und der Durchführung einer OSG- Arthrodese mit überwiegender Wahrscheinl ichkeit bewältigen (Urk. 11/M82 S. 7). Dem Gut achten lässt sich sodann entnehmen, dass die Beschwerdeführerin ihre Schmerzen auf der Schmerzskala mit 8 und unter Belastung mit 9 eingeschätzt habe. Sie habe zudem erzählt, dass sie knapp eine Gehstrecke von 20 Minuten ohne Be schwerden bewältigen könne und sich da nn hinsetzen müsse (Urk. 11/M82 S. 3 f.).</w:t>
      </w:r>
    </w:p>
    <w:p>
      <w:r>
        <w:t>Anlässlich der orthopädischen Untersuchung stellte Dr. Y.___ fest, dass sich das Gangbild mit deutlichem Schonentlastungshinken links gezeigt habe. Der Abrollvorgang links habe sich als deutlich erschwert erwiesen und der Zehen- und Fersengang seien nur knapp möglich gewesen. Die OSG-Beweglichkeit habe sich links im Vergleich zu rechts als eingeschränkt erwiesen. Auch habe sich links gegenüber rechts ein deutlich geschwollener Aussenknöchel mit einer Umfangs differenz von run d 4 cm präsentiert (Urk. 11/M82 S. 3). Die SPECT-Untersuchung habe eine erheblich fortgeschrittene medial betonte Degeneration im OSG mit osteochondralem Defekt gezeigt und die MRI- und Röntgenbefunde hätten zudem eine Osteopenie mit Verdacht auf eine Osteoporose, eine unverminderte Gabel sprengung und eine osteochondrale Läsion an der medialen Talussc hulter präsen tiert (Urk. 11/M82 S. 4).</w:t>
      </w:r>
    </w:p>
    <w:p>
      <w:r>
        <w:rPr>
          <w:b/>
        </w:rPr>
        <w:t>E. 3.2</w:t>
      </w:r>
    </w:p>
    <w:p>
      <w:r>
        <w:t>Dr. med. Z.___ , Facharzt FMH Chirurgie, beratender Arzt der Beschwerde geg nerin, nannte im Bericht vom 5. Februar 2018 folgende Diagnosen mit Auswir kung a uf die Arbeitsfähigkeit (Urk. 11/M86 S. 6): - Sprunggelenksdistorsion links am 17.01.2013 mit/bei: - trimalleolärer Sprunggelenksfraktur - Status nach osteosynthetischer Versorgung - Status nach Metallentfernung und Abtragung einer Exostose am medialen Malleolus nach Instabilität bei Gabelsprengung - massiver posttraumatischer OSG-Arthrose - Status nach AMIC-Plastik mediale Talusschulter und lateraler Bandre konstruktion am 20.08.2016 - Status nach medialisierender</w:t>
      </w:r>
    </w:p>
    <w:p>
      <w:r>
        <w:t>Kalkaneusosteotomie , Débridement</w:t>
      </w:r>
    </w:p>
    <w:p>
      <w:r>
        <w:t>Tibiali s</w:t>
      </w:r>
    </w:p>
    <w:p>
      <w:r>
        <w:t>posterior Sehne und Reparatur - persistierenden belastungsabhängigen Beschwerden linkes Sprung ge lenk Dr. Z.___ führte aus, es bestehe noch eine 30%ige Arbeitsfähigkeit in der ange stammten Tätigk eit als Reinigungsfachfrau. I n einer leidensangepassten Tätigkeit liege ab dem Untersuchungstag und unter Beachtung des Belastungsprofils wie der eine vollständige Arbeitsfähigkeit vor. Zum Belastungsprofil hielt Dr. Z.___ fest, es seien leichte bis mittelschwere wechselbelastende Tätigkeiten zu mutbar, ohne repetitives Gehen über 50 m, ohne repetitives Treppensteigen, ohne repe titives Gehen auf unebenem Gelände, ohne das Tragen von Lasten auf unebenem Gelände, ohne das Besteigen von Leitern und Gerüsten und ohne hockende, kniende und kauernde Arbeiten. Zudem seien Arbeiten in Nässe, Kälte und Hitze auszuschliessen (Urk. 11 / M86 S.</w:t>
      </w:r>
    </w:p>
    <w:p>
      <w:r>
        <w:rPr>
          <w:b/>
        </w:rPr>
        <w:t>E. 7</w:t>
      </w:r>
    </w:p>
    <w:p>
      <w:r>
        <w:t>Der angefochtene Enspracheentscheid vom 4. Juni 2019 (Urk. 2) erweist sich nach dem Gesagten als rechtens. Dies führt zu Abweisung der Beschwerde. Das Gericht erkennt: 1.</w:t>
      </w:r>
    </w:p>
    <w:p>
      <w:r>
        <w:t>Die Beschwerde wird abgewiesen. 2.</w:t>
      </w:r>
    </w:p>
    <w:p>
      <w:r>
        <w:t>Das Verfahren ist kostenlos. 3.</w:t>
      </w:r>
    </w:p>
    <w:p>
      <w:r>
        <w:t>Zustellung gegen Empfangsschein an: - Rechtsanwältin Lotti Sigg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VogelPeter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