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UV.2019.00172 vom 1. Juli 2020</w:t>
      </w:r>
    </w:p>
    <w:p>
      <w:r>
        <w:t>ZH Sozialversicherungsgericht, 2020-07-01, DE</w:t>
      </w:r>
    </w:p>
    <w:p>
      <w:r>
        <w:rPr>
          <w:b/>
        </w:rPr>
        <w:t xml:space="preserve">Quelle: </w:t>
      </w:r>
      <w:r>
        <w:t>https://mcp.opencaselaw.ch/entscheid/zh_sozialversicherungsgericht_UV.2019.00172</w:t>
      </w:r>
    </w:p>
    <w:p>
      <w:r>
        <w:t>FR: ZH_SOZIALVERSICHERUNGSGERICHT UV.2019.00172 du 1 juillet 2020</w:t>
      </w:r>
    </w:p>
    <w:p>
      <w:r>
        <w:t>IT: ZH_SOZIALVERSICHERUNGSGERICHT UV.2019.00172 del 1 luglio 2020</w:t>
      </w:r>
    </w:p>
    <w:p>
      <w:pPr>
        <w:pStyle w:val="Heading2"/>
      </w:pPr>
      <w:r>
        <w:t>Erwägungen</w:t>
      </w:r>
    </w:p>
    <w:p>
      <w:r>
        <w:rPr>
          <w:b/>
        </w:rPr>
        <w:t>E. 1</w:t>
      </w:r>
    </w:p>
    <w:p>
      <w:r>
        <w:t>Der 1989 geborene X.___ war vom 8. Oktober 2018 bis 8. Januar 2019 bei der Arbeitsvermittlungsfirma Y.___</w:t>
      </w:r>
    </w:p>
    <w:p>
      <w:r>
        <w:t>als Elektrofachmonteur angestellt und dadurch bei der Suva obligatorisch gegen die Folgen von Unfällen versichert.</w:t>
      </w:r>
    </w:p>
    <w:p>
      <w:r>
        <w:t>Gemäss Schadenmeldung vom 14. November 2018 und Fragebogen vom 22. November 2018 verkeilte sich am 17. Oktober 2018 bei einer Wandb ohrung d er Bohr er und verdrehte dem Versicherten die rechte Hand (Urk. 8/1, 8/6). Eine am 6. November 2018 durchgeführte MRT-Untersuchung des rechten Handgelen kes zeigte eine Rup tur der ulnaren Anteile des Disk us triangularis sowie ein periartikuläres</w:t>
      </w:r>
    </w:p>
    <w:p>
      <w:r>
        <w:t>Weichteilganglion im ventralen Bereich des Radiokarpalgelenkes (Urk. 8/7 ). Am 10. Dezember 2018 musste sich der Versicherte alsdann einer Ope ration ( Refixation des rechten TFCC ) unterziehen (Urk. 8/14 ). Mit Schreiben vom 7. Januar 2019 lehnte die Suva eine Leistungspflicht ab (Urk. 8/22 ) . Der Versi cherte ersuchte am 21. Februar 2019 um erneute Prüfung des Schadenfalles (Urk. 8/29). Daraufhin erliess die Suva am 25. Februar 2019 eine einsprachefähige Verfügung, in welcher sie eine Leistungspflicht der Unfallversicherung verneinte, da der Unfallbegriff nicht er füllt sei und auch keine unfall ähnliche Körperschä digung vorliege (Urk. 8/30) . Dagegen erhob en sowohl die ÖKK Kranken- und Unfallversicherungen AG</w:t>
      </w:r>
    </w:p>
    <w:p>
      <w:r>
        <w:t>als zuständiger Krankenversicherer als auch der Versi cherte Einsprache n (Urk. 8/34, 8/36, 8/40 ), welche mit Ent scheid vom 12. Juni 2019 abgewies en wurde n (Urk. 2 ).</w:t>
      </w:r>
    </w:p>
    <w:p>
      <w:r>
        <w:rPr>
          <w:b/>
        </w:rPr>
        <w:t>E. 1.1</w:t>
      </w:r>
    </w:p>
    <w:p>
      <w:r>
        <w:t>Zur Beschwerde ist berechtigt, wer durch die angefochtene Verfügung oder den Einspracheentscheid berührt ist und ein schutzwürdiges Interesse an deren bezie hungsweise dessen Aufhebung oder Änderung hat (Art. 59 des Bundesgesetz es über den Allgemeinen Teil des Sozi alversicherungsrechts [ATSG] ). Entsprechend dem Grundsatz der Einheit des Verfahrens dürfen an die Beschwerdebefugnis auf kantonaler Ebene nicht strengere Anforderungen gestellt werden, als sie Art. 89 Abs. 1 des Bundesgesetz es über das Bundesgericht (BGG) für die Legitimation im Verfahren vor dem Bundesgericht vorsieht. Wer im letztinstanzlichen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richtungweisend (BGE 131 V 298 E. 2; 130 V 560 E. 3.2). Namentlich ist der Begriff des schutzwürdigen Interesses gemäss Art. 59 ATSG gleich auszulegen wie derjenige nach Art. 89 Abs. 1 lit . c BGG für das bundesrechtliche Beschwerdeverfahren (BGE 133 V 188 E. 4.1 mit Hinweis).</w:t>
      </w:r>
    </w:p>
    <w:p>
      <w:r>
        <w:t>Die Beschwerdeführerin hat als vorleistungspflichtiger KVG-Versicherer von X.___ offensichtlich ein schutzwürdiges Interesse an der Auf hebung des angefochtenen Entscheides. Entsprechend wurden ihr auch die Verfü gung vom 25. Februar 2019 und der Einspracheentscheid vom 12. Juni 2019 direkt zuge stellt (Urk. 8/30 und 2). 1 .2</w:t>
      </w:r>
    </w:p>
    <w:p>
      <w:r>
        <w:t>Gemäss Art. 6 des Bundesgesetzes über die Unfallversicherung ( UVG ) wer - den – soweit das Gesetz nichts anderes bestimmt – die Versicherungsleistungen bei Berufsunfällen, Nichtberufsunfällen und Berufskrankheiten gewährt (Abs. 1). Die Versicherung erbringt ihre Leistungen auch bei folgenden</w:t>
      </w:r>
    </w:p>
    <w:p>
      <w:r>
        <w:t>Körperschä - digungen , sofern sie nicht vorwiegend auf Abnützung oder Erkrankung zurück - 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1.3</w:t>
      </w:r>
    </w:p>
    <w:p>
      <w:r>
        <w:t>Ein Unfall ist gemäss Art. 4 ATSG die plötzliche, nicht beabsichtigte schädigende Einwirkung eines ungewöhnlichen äusseren Faktors auf den menschlichen Kör per, die eine Beeinträchtigung der körperlichen, geistigen oder psychischen Gesundheit oder den Tod zur Folge hat.</w:t>
      </w:r>
    </w:p>
    <w:p>
      <w:r>
        <w:rPr>
          <w:b/>
        </w:rPr>
        <w:t>E. 1.4</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w:t>
      </w:r>
    </w:p>
    <w:p>
      <w:r>
        <w:rPr>
          <w:b/>
        </w:rPr>
        <w:t>E. 1.5</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mit Hinweisen).</w:t>
      </w:r>
    </w:p>
    <w:p>
      <w:r>
        <w:rPr>
          <w:b/>
        </w:rPr>
        <w:t>E. 1.6</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ausseror 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Hinwei sen).</w:t>
      </w:r>
    </w:p>
    <w:p>
      <w:r>
        <w:rPr>
          <w:b/>
        </w:rPr>
        <w:t>E. 2</w:t>
      </w:r>
    </w:p>
    <w:p>
      <w:r>
        <w:t>Gegen den Einspracheentscheid vom 12. Juni 2019 erhob die ÖKK Kranken- und Unfallversicherungen AG mit Eingabe vom 1. Juli 2019 Beschwerde und bean tragte dessen Auf heb ung sowie die Zusprechung von Leistungen aus der Unfall versicherung im Zusammenhang mit dem Ereignis vom 17 . Oktober 2018 an X.___</w:t>
      </w:r>
    </w:p>
    <w:p>
      <w:r>
        <w:t>(Urk. 1). Die Suva schloss mit Be schwer deantwort vom 9. September 2019 auf Ab wei sung der Beschwerde (Urk. 7). Mit Verfügung vom 13. September 2019 wurde X.___ zum Prozess beigeladen und ihm Frist angesetzt, um zur Beschwerde vom 1. Juli 2019 u nd zur Beschwerdeantwort vom 9. September 2019 Stellung zu nehmen und allfällige Beweismittel zu bezeichnen und soweit möglich einzureichen</w:t>
      </w:r>
    </w:p>
    <w:p>
      <w:r>
        <w:t>(Urk. 9). Der Rechtsvertreter des Beigeladenen beantragte m it Eingabe vom 21. Oktober 2019 eine Erstreckung der Frist zur Stellungnahme und ersuchte um Gewährung der unentgeltlichen Rechtspflege (Urk. 11 ). Mit Ver fügung vom 24. Oktober 2019 wurde die Frist zur Stellungnahme des Beigelade nen verlängert. Ausserdem wurde d em Beigeladen en eine Frist von 30 Tagen angesetzt, um das Gesuch um unentge l tliche Rechtspflege zu substantiieren (Urk. 14). Mit Eingabe v om 4. No vember 2019 teilte der Rechtsvertreter mit, dass er die Interessen des Beigeladenen nicht mehr vertrete (Urk. 17) . Sowohl die Frist zur Stellungnahme als auch zur Substantiierung des Gesuchs um unentgeltliche Rechtspflege liess der Beigeladene in der Folge ungenutzt verstreichen. Mit Ver fügung vom 16. Dezember 2019 wurde das Gesuch des Beigeladenen um unent geltliche Prozessführung und unentgeltliche Rec htsvertretung abgewiesen und der Beschwerdeführer in die Beschwerdeantwort zur Kenntnis gebracht (Urk. 18). Das Gericht zieht in Erwägung: 1.</w:t>
      </w:r>
    </w:p>
    <w:p>
      <w:r>
        <w:rPr>
          <w:b/>
        </w:rPr>
        <w:t>E. 2.1</w:t>
      </w:r>
    </w:p>
    <w:p>
      <w:r>
        <w:t>Die Beschwerdegegnerin verneinte ihre Leistungspflicht im angefochtenen Ent scheid mit der Begründung, dass aufgrund der Schilderungen des Geschehens durch den Versicherten der Unfallbegriff im Sinne von Art.</w:t>
      </w:r>
    </w:p>
    <w:p>
      <w:r>
        <w:rPr>
          <w:b/>
        </w:rPr>
        <w:t>E. 2.2</w:t>
      </w:r>
    </w:p>
    <w:p>
      <w:r>
        <w:t>Die Beschwerdeführerin wandte dagegen im Wesentlichen ein, dass das Ereignis vom 17. Oktober 2018 durchaus ungewöhnlich gewesen sei. Die Arbeit, welche d er Versicherte an diesem Tag ausgeführt habe, sei zwar alltäglich gewesen. Erschwerend sei aber die Körperhaltung und der Stand auf einer Bockleiter</w:t>
      </w:r>
    </w:p>
    <w:p>
      <w:r>
        <w:t>gewesen , um die Kernbohrungen über Kopf auf einer Höhe von 2.2 Metern aus zuführen. Ungewöhnlich und keinesfalls alltäglich sei alsdann gewesen, dass sich der 83 mm Bohraufsatz beim Bohren in der Wand verhakt und der Versicherte dadurch die Kontrolle über die Bohrmaschine verloren habe. Die Kraft des Motors sei nicht mehr auf den Bohreinsatz übertragen worden, sondern auf die Maschine in der Hand des Versicherten. Es verstehe sich, dass der Versicherte die Bohrma schine bei dieser Überkopfarbeit nicht einfach losgelassen, sondern sie zu halten versucht habe. Dabei habe es ihm die Hand verdreht. Ein solches Ereignis sei ein e nicht alltägliche Programmwid rigkeit und damit zweifelsohne ungewöhnlich im Si nne von Art.</w:t>
      </w:r>
    </w:p>
    <w:p>
      <w:r>
        <w:rPr>
          <w:b/>
        </w:rPr>
        <w:t>E. 4</w:t>
      </w:r>
    </w:p>
    <w:p>
      <w:r>
        <w:t>ATSG nicht erfüllt. Ein e Ruptur des Diskus triangularis fällt des Weiteren auch nicht unter die in Art.</w:t>
      </w:r>
    </w:p>
    <w:p>
      <w:r>
        <w:rPr>
          <w:b/>
        </w:rPr>
        <w:t>E. 4.1</w:t>
      </w:r>
    </w:p>
    <w:p>
      <w:r>
        <w:t>). Das Merkmal des Ungewöhnlichen macht den alltäglichen Vorgang zum einmaligen Vorfall. Ein wirkungen, die aus alltäglichen Vorgängen resultieren, taugen in aller Regel nicht als Ursa che einer Gesundheitsschädigung ( Urteil des Bundesgerichts 8C _718/2009 vom 30 . November 2009 E. 6.1 ). 3.3.4</w:t>
      </w:r>
    </w:p>
    <w:p>
      <w:r>
        <w:t>Die vom Versicherten ausgeführte Bewegung ( Vornahme einer Kern bohrung) ist als solche nicht ungewöhnlich , auch wenn sie wie vorliegend über Kopf, auf einer Bockleiter stehend, vorgenommen wurde . Des Weiteren ist es – wie die Beschwer degegnerin zu Recht ausführt e</w:t>
      </w:r>
    </w:p>
    <w:p>
      <w:r>
        <w:t>(Urk. 7 S. 4) – durchaus alltäglich, dass beim Bohr vorgang in eine Betonwand auch auf Gegenstände wie Armierungseisen, L eitun gen oder Nägel gebohrt werden kann. Dabei handelt es sich um ein alltägliches Bohrrisiko, welches insbesondere für den Versicherten als gelernten und erfahre nen Elektromonteur nicht ungewöhnlich ist (berufliche Gewöhnung) . Etwas Pro grammwidriges ist darin nicht zu sehen.</w:t>
      </w:r>
    </w:p>
    <w:p>
      <w:r>
        <w:t>Insofern die Beschwerdeführerin hiegegen einwendet, dass das Bundesgericht im Urteil 8C_36/2013 vom 14. Januar 2014 einen vergleichbaren Fall als Unf all qua lifiziert habe (Urk. 1 S. 5 ), ist ihr nicht zu folgen. Dem erwähnten Entscheid lag ein anderer Sachverhalt zugrunde , bei welchem der Meissel eines « marte au -p iqu eur» während des Arbeitseinsatzes blockierte und einen Körperschaden zur Folge hatte . Bei einem « marteau -piqueur» handelt es sich allerdings um einen Druck- oder Presslufthammer, der normaler weise nicht nur ein viel schwereres Gewicht, sondern auch eine vi el stärkere Schlageinwirkung auf die damit arbei tende Person</w:t>
      </w:r>
    </w:p>
    <w:p>
      <w:r>
        <w:t>als eine übliche Bohrmaschine mit sich bringt. Er benötigt zur Bedienung denn auch regelmässig</w:t>
      </w:r>
    </w:p>
    <w:p>
      <w:r>
        <w:t>den Einsatz beide r Hände und eignet sich nicht für Überkopfarbeiten .</w:t>
      </w:r>
    </w:p>
    <w:p>
      <w:r>
        <w:t>Mithin ist ein « marteau -piqueur» viel schwieriger zu beherrschen als ein durchschnittlicher Bohrschrauber der Marke Bosch. Zwar hat sich das Bundesgericht im besagten Entscheid – wie von der Beschwerdeführerin ins Feld geführt (Urk. 1 S. 5) - nicht im Detail</w:t>
      </w:r>
    </w:p>
    <w:p>
      <w:r>
        <w:t>mit dem Gewicht des « marteau -piqueur» auseinandergese tzt. Jedoch ergibt sich aus dem Urteil beziehungsweise den Erwägungen der Vorinstanz unmissverständlich , dass das verwendete Werk zeug grösser als ein durchschn ittlicher Bosch- Bohrschrauber</w:t>
      </w:r>
    </w:p>
    <w:p>
      <w:r>
        <w:t>war . Die beiden Werkzeuge sind namentlich nicht vergleichbar. Da e in Bohrschrauber</w:t>
      </w:r>
    </w:p>
    <w:p>
      <w:r>
        <w:t>regelmässig viel kleiner und – selbst bei Überkopfarbeiten oder auf Leitern stehend – gut kontrollierbar</w:t>
      </w:r>
    </w:p>
    <w:p>
      <w:r>
        <w:t>ist, kann beim Auftreffen des Bohrkopfes auf eine Eisenarmierung deshalb nicht von einer programmwidrigen Beeinflussung des natürlichen Bewe gungsablaufes ausgegangen werden. Folglich kann die Beschwerdeführerin</w:t>
      </w:r>
    </w:p>
    <w:p>
      <w:r>
        <w:t>aus dem Vergleich mit dem erwähnten Urteil nicht s zu ihren Gunsten ableiten.</w:t>
      </w:r>
    </w:p>
    <w:p>
      <w:r>
        <w:t>Ein allfälliger Defekt der Bohrmaschine steht sodann nicht im Raum. Und aus der Art der Verletzung kann vorliegend nicht auf die Ungewöhnlichkeit des äusseren Faktors geschlossen werden , zumal u ngewöhnliche Auswirkungen allein keine Ungewöhnlichkeit begründen (BGE 134 V 72 E. 4.1 und E. 4.3.1 mit Hinweis). 3.3.5</w:t>
      </w:r>
    </w:p>
    <w:p>
      <w:r>
        <w:t>Damit gilt festzuha lten, dass das Ereignis vom 17. Oktober 2018 den Unfallbegriff im Sinne von Art.</w:t>
      </w:r>
    </w:p>
    <w:p>
      <w:r>
        <w:rPr>
          <w:b/>
        </w:rPr>
        <w:t>E. 6</w:t>
      </w:r>
    </w:p>
    <w:p>
      <w:r>
        <w:t>Abs.</w:t>
      </w:r>
    </w:p>
    <w:p>
      <w:r>
        <w:t>2 UVG abschliessend aufgezähl ten Körperschädigungen, weshalb auch keine Listendiagnose vorliegt (vgl. Urk.</w:t>
      </w:r>
    </w:p>
    <w:p>
      <w:r>
        <w:t>8/13) .</w:t>
      </w:r>
    </w:p>
    <w:p>
      <w:r>
        <w:t>Damit hat die Beschwerdegegnerin eine Leistungspflicht der Unfall versicherung für die Fol gen des Ereignisses vom 17. Oktober 2018 zu Recht ver neint. 4 .</w:t>
      </w:r>
    </w:p>
    <w:p>
      <w:r>
        <w:t>Nach dem Gesagten erweist sich die Beschwerde als unbegründet, weshalb sie ab zuweisen ist. Das Gericht erkennt: 1.</w:t>
      </w:r>
    </w:p>
    <w:p>
      <w:r>
        <w:t>Die Beschwerde wird abgewiesen. 2.</w:t>
      </w:r>
    </w:p>
    <w:p>
      <w:r>
        <w:t>Das Verfahren ist kostenlos. 3 .</w:t>
      </w:r>
    </w:p>
    <w:p>
      <w:r>
        <w:t>Zustellung gegen Empfangsschein an: - Rechtsanwalt Dr. Peter Philipp - Suva - X.___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