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UV.2019.00171 vom 14. Dezember 2018</w:t>
      </w:r>
    </w:p>
    <w:p>
      <w:r>
        <w:t>ZH Sozialversicherungsgericht, 2018-12-14, DE</w:t>
      </w:r>
    </w:p>
    <w:p>
      <w:r>
        <w:rPr>
          <w:b/>
        </w:rPr>
        <w:t xml:space="preserve">Quelle: </w:t>
      </w:r>
      <w:r>
        <w:t>https://mcp.opencaselaw.ch/entscheid/zh_sozialversicherungsgericht_UV.2019.00171</w:t>
      </w:r>
    </w:p>
    <w:p>
      <w:r>
        <w:t>FR: ZH_SOZIALVERSICHERUNGSGERICHT UV.2019.00171 du 14 décembre 2018</w:t>
      </w:r>
    </w:p>
    <w:p>
      <w:r>
        <w:t>IT: ZH_SOZIALVERSICHERUNGSGERICHT UV.2019.00171 del 14 dicembre 2018</w:t>
      </w:r>
    </w:p>
    <w:p>
      <w:pPr>
        <w:pStyle w:val="Heading2"/>
      </w:pPr>
      <w:r>
        <w:t>Erwägungen</w:t>
      </w:r>
    </w:p>
    <w:p>
      <w:r>
        <w:rPr>
          <w:b/>
        </w:rPr>
        <w:t>E. 1</w:t>
      </w:r>
    </w:p>
    <w:p>
      <w:r>
        <w:t>Der 1988 geborene X.___ war seit April 2015 bei der Y.___ im Innendienst angestellt und bei der Helsana Unfall AG (nachfolgend Helsana) obligatorisch gegen die Folgen von Unfällen versichert (Urk. 13/K1). Am 5. November 2018 zog sich der Versicherte bei einer Squat -Übung mit Langhan teln Verspannungen der Nackenmuskulatur zu, infolgedessen sein Arzt eine Hals wirbelsäulenkontusion diagnostizierte und nach der Erstbehandlung vom 12. November 2018 eine 100%ige Arbeitsunfähigkeit bis am 14. November 2018 bescheinigte ( Urk. 13/M2). Die Unfallmeldung erfolgte am 13. November 2018 (Urk. 13/K1). Nach Einholung einer versicherungsmedizinischen Stellungnahme (Urk. 13/M3) verneinte die Helsana mit Verfügung vom 14. Dezember 2018 ihre Leistungspflicht mit der Begründung, beim angemeldeten Ereignis handle es sich nicht um einen Unfall im Sinne von Art. 4 des Bundesgesetzes über den Allge meinen Teil des Sozialversicherungsrechts (ATSG) und es sei keine unfallähnliche Körperschädigung gemäss Art.</w:t>
      </w:r>
    </w:p>
    <w:p>
      <w:r>
        <w:rPr>
          <w:b/>
        </w:rPr>
        <w:t>E. 1.1</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Ein Unfall ist gemäss Art. 4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t>2.1</w:t>
      </w:r>
    </w:p>
    <w:p>
      <w:r>
        <w:t>Die Beschwerdegegnerin hielt im angefochtenen Entscheid fest, im Sinne eines Vergleiches ändere sie die Verfügung vom 14. Dezember 2018 dahingehend ab, dass der Unfallbegriff gemäss Art. 4 ATSG zugelassen und der Status quo sine auf den 5. Februar 2019 festgelegt werde (Urk. 2). Mit Beschwerdeantwort vom 18. Oktober 2019 ergänzte die Beschwerdegegnerin, der Vergleichsvorschlag vom 30. April 2019 sei mit E-Mail vom 21. Mai 2019 akzeptiert worden (Urk. 12 S. 3). D ie mit Unfallmeldung geschilderte Bewegung erfülle sodann den Unfallbegriff nicht. Beim Squaten sei es nicht unüblich, dass mangels Kraft die Übung nicht ganz korrekt verlaufe, weshalb sich damit ein für die sportliche Übung inhärentes Risiko einer Verletzung verwirklicht habe und damit kein Unfallereignis vorliege. Eine Listenverletzung gemäss Art. 6 Abs. 2 UVG liege ebenfalls nicht vor, wes halb die Beschwerdegegnerin von Beginn an nicht leistungspflichtig gewesen wäre. Gestützt auf die vertrauensärztliche Stellungnahme sei nach maximal 15 Tagen sodann vo m Erreich en des Status quo sine</w:t>
      </w:r>
    </w:p>
    <w:p>
      <w:r>
        <w:t>auszugehen. Die Leistungs einstellung drei Monate nach dem Ereignis vom 5. November 2018 entspreche daher der geltenden Rechtsprechung (Urk. 12 S. 6-8). 2.2</w:t>
      </w:r>
    </w:p>
    <w:p>
      <w:r>
        <w:t>Der Beschwerdeführer brachte demgegenüber vor, es sei fraglich, ob ein Ver gleichsabschluss gültig zustande gekommen sei, da die Beschwerdegegnerin den Vergleichsvorschlag dem Beschwerdeführer direkt zugestellt hatte, obwohl er bereits anwaltlich vertreten gewesen sei . Sodann sei das geschilderte Ereignis vom 5. November 2018 von der Beschwerdegegnerin zw ischenzeitlich als Unfall im Sinne des UVG anerkannt worden. Die Beweislast dafür, dass der Vorzustand erreicht worden sei , liege des Weiteren bei der Beschwerdegegnerin als Unfall versicherung und nicht beim Beschwerde führer . Es würden keine Arztberichte vorliegen, die zumindest bestätig t en, dass sich die unfallbedingten segmentalen Veränderungen zurückgebildet hätten (Urk. 1 S. 4-5). 3.</w:t>
      </w:r>
    </w:p>
    <w:p>
      <w:r>
        <w:t>3.1</w:t>
      </w:r>
    </w:p>
    <w:p>
      <w:r>
        <w:t>Vorab ist zu prüfen, ob zwischen den Parteien ein Vergleich gültig zustande gekommen ist. 3.2</w:t>
      </w:r>
    </w:p>
    <w:p>
      <w:r>
        <w:t>Gemäss Art. 50 Abs. 1 ATSG können Streitigkeiten über sozialversicherungs rechtliche Leistungen durch Vergleich erledigt werden. Der Versicherungsträger hat den Vergleich in Form einer anfechtbaren Verfügung zu eröffnen (Art. 50 Abs. 2 ATSG). Diese Bestimmungen sind sinngemäss auch im Einsprache- und Beschwerdeverfahren anwendbar (Art. 50 Abs. 3 ATSG). Werden Sozialversiche rungsleistungen gestützt auf einen Vergleich verfügt, umfasst dieser für gewöhn lich eine gesamthafte Würdigung aller relevanten Anspruchsfaktoren. Das heisst, jede Vergleichspartei bezieht in ihre Überlegungen mit ein und nimmt in Kauf, dass der Vergleichsinhalt in der Regelung des Rechtsverhältnisses abweicht, zu der es bei umfassender Klärung des Sachverhalts und der Rechtslage allenfalls gekommen wäre. Ein Vergleich ist somit zulässig, soweit dem Versicherungsträ ger ein Ermessensspielraum zukommt sowie zur Beseitigung rechtlicher und/oder tatsächlicher Unklarheiten (BGE 140 V 77 E. 3.2.1 und E. 3.2.2 mit weiteren Hin weisen).</w:t>
      </w:r>
    </w:p>
    <w:p>
      <w:r>
        <w:t>Soweit im Verwaltungsverfahren ein Vergleich abgeschlossen wurde, soll – so die Rechtsprechung – auch dagegen eine Beschwerde eingereicht werden können, weil die versicherte Person nicht von vornherein auf das ihr eingeräumte Beschwerderecht verzichten kann. Sodann legte die Judikatur fest , dass es gegen das Vertrauensprinzip verstosse, wenn eine Verfügung beziehun gsweise ein Ein spracheentscheid durch eine der am Vergleich beteiligten Parteien angefochten wird; die Anfechtung könne nur wegen Verfahrens- oder Willensmängeln im Sinne von Art. 23 ff. des Bundesgesetzes betreffend die Ergänzung des Schwei zerischen Zivilgesetzbuches (Fünfter Teil: Obligationenrecht, OR) erfolgen ( vgl. Ueli Kie ser , ATSG Kommentar, 4. Aufl., Zürich/Basel/Genf 2020, Art. 50 N 7). 3.3</w:t>
      </w:r>
    </w:p>
    <w:p>
      <w:r>
        <w:t>Die Partei kann</w:t>
      </w:r>
    </w:p>
    <w:p>
      <w:r>
        <w:t>sich</w:t>
      </w:r>
    </w:p>
    <w:p>
      <w:r>
        <w:t>sodann jederzeit vertreten oder , soweit die Dringlichkeit einer Untersuchung es nicht ausschliesst, verbeiständen lassen ,</w:t>
      </w:r>
    </w:p>
    <w:p>
      <w:r>
        <w:t>wenn sie nicht persön lich zu handeln hat (Art. 37 Abs. 1 ATSG). Gemäss Art. 37 Abs. 2 ATSG kann der Versicherungsträger die Vertretung auffordern, sich durch schriftliche Vollmacht auszuweisen. Art. 37 Abs. 3 ATSG greift den in Art. 11 Abs. 3 des Bundesgesetzes über das Verwaltungsverfahren ( VwVG ) festgelegten Grundsatz auf, wonach Mit teilungen, einschliesslich Entscheidungen an die Vertretung zu richten sind, solange die Partei die Vollmacht nicht widerruft. Die Hauptwirkung des Vertre tungsverhältnisses besteht darin, dass die Rechtswirkungen der Handlungen einer bevollmächtigten Person in der vertretenen Person eintreten. Das Vertretungs verhältnis schliess t jedoch nicht aus, dass die vertretene Person selbst ver pflichtende Erklärungen abgibt. Wenn eine vertretene Person jedoch eine Mittei lung erhält, darf sie davon ausgehen, dass diese auch der Vertretung zugegangen ist, weshalb aus einem Nichthandeln</w:t>
      </w:r>
    </w:p>
    <w:p>
      <w:r>
        <w:t>der vertretenen Person nichts für sie Nach teiliges abgeleitet werden darf ( Kieser , a.a.O., Art. 37 Rz .</w:t>
      </w:r>
    </w:p>
    <w:p>
      <w:r>
        <w:t>23 ff.). Dieser Grundsatz dient im Interesse der Rechtssicherheit dazu, allfällige Zweifel darüber zum Vorn herein zu beseitigen, ob die Mitteilungen an die Partei selber oder an ihre Vertre tung zu erfolgen haben, sowie um klarzustellen, welches die fü r einen Fristenlauf massgebende Mitteilung sein soll (Urteil des Bundesgerichts 9C_863/2013 vom 9. Mai 2014 E. 3.2 mit weiteren Hinweisen). 3.4</w:t>
      </w:r>
    </w:p>
    <w:p>
      <w:r>
        <w:t>Der Beschwerdeführer machte geltend, er habe seine Rechtsschutzversicherung mit seiner Interessenwahrung beauftragt, wobei diese mit Schreiben vom 21. März 2019 der Beschwerdegegnerin ihre Vollmacht habe zukommen la ss en und damit das Mandatsverhältnis angezeigt habe. Unter Umgehung des Vertre tungsverhältnisses habe sich die Beschwerde gegnerin jedoch am 30. April 2019 direkt an den Beschwerdeführer gewandt. Dabei habe die Beschwerdegegnerin betont, dass ihrerseits keine Leistungspflicht bestehe. Sie habe ihm jedoch ohne Anerkennung einer Rechtspflicht offeriert, die Leistungen bis am 5. Februar 2019 zu erbringen, sofern er danach endgültig auf Leistungen verzichte. Unter dem Druck, dass der Vergleichsvorschlag bis am 22. Mai 2019 gelte, habe er am 2 1. Mai 2019 per E-Mail den Vorschlag akzeptiert. Dieser Vergleich sei jedoch nicht gültig zustande gekommen. Die Beschwerdegegnerin habe den Vergleichs vorschlag unzulässigerweise direkt an den Beschwerdeführer zugestellt, weshalb die Offerte für den Vergleichsabschluss formell nicht korrekt gewesen sei. Dieser Mangel sei auch nicht durch die Zustimmung zum Vergleichsvorschlag geheilt worden. Da es Anwälten standesrechtlich untersagt sei, mit anwaltlich vertrete nen Gegenparteien direkten Kontakt aufzunehmen, müsse dies umso mehr auch für Sozialversicherungs einrichtungen gelten (Urk. 7 S. 5-6). 3.5</w:t>
      </w:r>
    </w:p>
    <w:p>
      <w:r>
        <w:t>Grundsätzlich hat die Korrespondenz bei bekannter Vertretung an diese zu erfolgen (Art. 37 Abs. 3 ATSG) . Es ist vorliegend unbestritten und geht aus den Akten hervor, dass die Beschwerdegegnerin sämtliche Korrespondenz auch nach der Mandatsanzeige der CAP Rechtsschutz Versicherungsgesellschaft AG (Urk. 13/K23) weiterhin an den Beschwerdeführer richtete (vgl. Urk. 13/K24-K26, 13/K28). Ebenso wandte sich der Beschwerdeführer - auch nach Mandatierung seiner Rechtsschutzversicherung per 1 1. März 2019 ( Urk. 13/K23) - unverändert mittels Mail-Nachrichten an die Beschwerdegegnerin ( Urk. 13/K21, K22) und gab mittels E-Mail vom 2 1. Mai 2019 die Erklärung ab, deren Vergleichsvorschlag vom 3 0. April 2019 zu akzeptieren ( Urk. 13/K25). Sein aktueller Vorwurf im Beschwerdeverfahren, der Vergleich erweise sich - da unter Umgehung seiner damaligen Rechtsvertretung zustande gekommen - als formal nicht korrekt, ver fängt angesichts dieser Gegebenheiten nicht, zumal es ihm unbenommen war, das weitere Vorgehen mit seiner Rechtsschutzversicherung abzusprechen, wofür ihm denn auch genügend Zeit verblieb en wäre . Hinzu kommt, dass sich der Ver sicherte am 6. Juni 2019 abermals per E-Mail an die Beschwerdegegnerin wandte, ihr seine neue Adresse mitteilte und sich nach den weiteren Schritten erkundigte ( Urk. 13/K28). Der abgeschlossene Vergleich kann damit nicht als formell fehler haft bezeichnet werden, beziehungsweise wäre ein allfälliger Mangel jedenfalls durch das eigene Handeln des Beschwerdeführers als geheilt zu betrachten. Im Übrigen ist davon auszugehen, dass der Vergleich zugunsten des Beschwerdefüh rers ausgefallen ist (vgl. nachfolgend E. 3.6 am Schluss). Sofern sich der Beschwerdeführer vorliegend auf Standesrecht bezieht (Urk. 7 S. 6) , vermag er damit ebenso wenig durchzudringen , war er doch dannzumal</w:t>
      </w:r>
    </w:p>
    <w:p>
      <w:r>
        <w:t>n icht rechtsanwalt lich vertreten, weshalb die Bestimmungen des Bundesgesetzes über die Freizügig keit der Anwältinnen und Anwälte (Anwaltsgesetz, BGFA) nicht zur Anwendung kommen (vgl. Art. 2 BGFA) .</w:t>
      </w:r>
    </w:p>
    <w:p>
      <w:r>
        <w:t>3.</w:t>
      </w:r>
    </w:p>
    <w:p>
      <w:r>
        <w:rPr>
          <w:b/>
        </w:rPr>
        <w:t>E. 6</w:t>
      </w:r>
    </w:p>
    <w:p>
      <w:r>
        <w:t>Der Beschwerdeführer macht e des Weiteren geltend , er habe sich in einem Grund lagenirrtum befunden, da die Beschwerdegegnerin die unwahre Behauptung auf gestellt habe, Schleudertraumabeschwerden würden innerhalb von zehn bis 1 5 Tagen ausheilen (Urk. 7 S. 7). Dieser Auffassung kann nicht gefolgt werden. Aus den vertrauensärztlichen Stellungnahmen geht nicht hervor, dass beim Beschwer deführer ein Schleudertrauma diagnostiziert worden wäre. Dr. Z.___ , Facharzt Orthopädische Chirurgie und Traumatologie des Bewegungsapparates, erklärte mit Stellungnahme vom 1 1. Februar 2019, die Röntgenaufnahme der HWS zeige eine Fehlstellung mit Verlust der üblichen Lordose. Diese Art von Pathologie könne verschiedene Ursachen haben, wobei es vorliegend keinerlei Hinweise dafür gebe, dass die Fehlstellung auf ein Schleudertrauma zurückzu führen wäre. Sofern der Unfall be griff zulässig sei, sei jedoch von einer Erreichung des Status quo sine nach maximal zehn bis 15 Tagen auszugehen , könne es sich bei der erlittenen (geringfügigen) Verletzung doch einzig um eine Kontusion han deln (Urk. 13/M5). Mithin wurde ein Schleudertrauma weder von den Vertrau ensärzten diagnostiziert noch von der Beschwerdegegnerin dem Vergleich zugrunde gelegt. Ein Grundlagenirrtum wie behauptet, liegt damit nicht vor.</w:t>
      </w:r>
    </w:p>
    <w:p>
      <w:r>
        <w:t>Sodann liegen weder Anhaltspunkte für eine absichtliche Täuschung im Sinne von Art. 28 OR vor, noch wurden solche substantiiert vorgebracht. Der Auffassung, dass de r Beschwerdeführer mittels Fristansetzung zeitlich unter Druck gesetzt worden sei , dem Vergleichsvorschlag zuzustimmen (Urk. 7 S. 6-7) , kann ebenfalls nicht gefolgt werden. Die Beschwerdegegnerin drohte dem Beschwerdeführer an, aufgrund der Akten zu entscheiden, sollte er dem Vergleichsvorschlag nicht zustimmen. Dabei handelt es sich nicht um eine Drohung im Rechtssinne. Eine Drohung i st nur unzulässig, wenn sie wid errechtlich ist. Besteht das angedrohte Übel in einer erlaubten oder dem Drohenden freigestellten Handlung, liegt keine Widerrechtlichkeit vor (Ingeborg Schwenzer /Christiana Fountoulakis , in: Basler Kommentar zum Schweizerischen Privatrecht, Obligationenrecht, Art. 1-529,</w:t>
      </w:r>
    </w:p>
    <w:p>
      <w:r>
        <w:rPr>
          <w:b/>
        </w:rPr>
        <w:t>E. 7</w:t>
      </w:r>
    </w:p>
    <w:p>
      <w:r>
        <w:t>). Der Entscheid über die Leistungspflicht auf grund der Akten stellt mithin keine widerrechtliche Drohung dar , sondern bildet vielmehr – nach Durchführung der hierfür notwendigen Abklärungen – den Abschluss des verwaltungsrechtlichen Verfahrens . Des Weiteren ist darauf hin zuweisen, dass die Frist zum Vergleichsabschluss bereits zuvor verlängert worden war und es dem Beschwerdeführer freigestanden hätte , sich mit seiner Vertretung über das weitere Vorgehen abzusprechen. Eine Drucksituation lag daher nicht vor.</w:t>
      </w:r>
    </w:p>
    <w:p>
      <w:r>
        <w:t>Nach dem Gesagten ist festzuhalten, dass keine Willensmängel vorliegen , weshalb d er Vergleich rechtsgültig abgeschlossen</w:t>
      </w:r>
    </w:p>
    <w:p>
      <w:r>
        <w:t>wurde .</w:t>
      </w:r>
    </w:p>
    <w:p>
      <w:r>
        <w:t>Im Übrigen ist darauf hinzuweisen, dass die Beschwerdegegnerin - entgegen der Behauptung des Beschwerdeführers, wonach sie das Ereignis vom 5. November 2018 als Unfall anerkannt habe – vertraglich festhielt, ohne Anerkennung eines Anspruchs, Leistungen bis am 5. Februar 2019 auszurichten . Ohne ein besonderes Vorkommnis ist bei einer Sportverletzung das Merkmal der Ungewöhnlichkeit und damit das Vorliegen eines Unfalles zu verneinen (BGE 130 V 117 E. 2.2 mit Hinweis en ). Generell ergibt sich aus der Rechtsprechung zu Sportverletzungen, dass der äussere Faktor ungewöhnlich ist, wenn die sportliche Übung anders ver läuft als geplant, nicht aber, wenn ein Geschehen in die gewöhnliche Bandbreite der Bewegungsmuster der betreffenden Sportart fällt und sich das einer sportli chen Übung inhärente Risiko einer Verletzung verwirklicht. Auch wenn die Übung zwar nicht ideal verläuft, die Art der Ausführung sich aber noch in der Spannweite des Üblichen bewegt, liegt kein Unfallereignis vor (Urteil des Bundesgerichts 8C_835/2013 vom 28. Januar 2014 E. 5.1 sowie Urteil des EVG U 322/02 vom 7. Oktober 2003 E. 4.4; Alexandra Rumo-Jungo /André P. Holzer, Bundesgesetz über die Unfallversicherung [UVG], 4. Auflage, Zürich 2012, S. 43 mit Hinweisen).</w:t>
      </w:r>
    </w:p>
    <w:p>
      <w:r>
        <w:t>Mit Blick auf diese Rechtsprechung wäre der geschilderte Geschehensablauf wohl nicht als Unfallereignis zu qualifizieren. Da mit dem Abschluss des Vergleiches diese Sach- und Rechtsunsicherheit unter den Parteien geregelt wurde, hat eine materielle Überprüfung nicht zu erfolgen (vgl. E. 3.2). Weiterungen hinsichtlich Erfüllens des Unfallbegriffs erübrigen sich damit ebenso wie das Androhen einer reformatio in peius (vgl. Urk. 12 S. 10). Die Beschwerde ist abzuweisen. Das Gericht erkennt: 1.</w:t>
      </w:r>
    </w:p>
    <w:p>
      <w:r>
        <w:t>Die Beschwerde wird abgewiesen. 2.</w:t>
      </w:r>
    </w:p>
    <w:p>
      <w:r>
        <w:t>Das Verfahren ist kostenlos. 3.</w:t>
      </w:r>
    </w:p>
    <w:p>
      <w:r>
        <w:t>Zustellung gegen Empfangsschein an: - Rechtsanwältin Petra Oehmke - Helsana Accidents SA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