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UV.2019.00154 vom 5. Mai 2020</w:t>
      </w:r>
    </w:p>
    <w:p>
      <w:r>
        <w:t>ZH Sozialversicherungsgericht, 2020-05-05, DE</w:t>
      </w:r>
    </w:p>
    <w:p>
      <w:r>
        <w:rPr>
          <w:b/>
        </w:rPr>
        <w:t xml:space="preserve">Quelle: </w:t>
      </w:r>
      <w:r>
        <w:t>https://mcp.opencaselaw.ch/entscheid/zh_sozialversicherungsgericht_UV.2019.00154</w:t>
      </w:r>
    </w:p>
    <w:p>
      <w:r>
        <w:t>FR: ZH_SOZIALVERSICHERUNGSGERICHT UV.2019.00154 du 5 mai 2020</w:t>
      </w:r>
    </w:p>
    <w:p>
      <w:r>
        <w:t>IT: ZH_SOZIALVERSICHERUNGSGERICHT UV.2019.00154 del 5 maggio 2020</w:t>
      </w:r>
    </w:p>
    <w:p>
      <w:pPr>
        <w:pStyle w:val="Heading2"/>
      </w:pPr>
      <w:r>
        <w:t>Erwägungen</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 ber die Unfallversicherung;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r>
        <w:rPr>
          <w:b/>
        </w:rPr>
        <w:t>E. 1.2</w:t>
      </w:r>
    </w:p>
    <w:p>
      <w:r>
        <w:t>Die Revision einer Invalidenrente der Unfall versicherung richtet sich – vom vor lie gend nicht erfüllten Spezialfall von Art.</w:t>
      </w:r>
    </w:p>
    <w:p>
      <w:r>
        <w:t>22 UVG abgesehen – nach Art. 17 Abs. 1 ATSG (vgl. Art 1 Abs. 1 UVG). Gemäss dieser Norm wird die Rente dann von Amtes wegen oder auf Gesuch hin für die Zukunft entsprechend erhöht, herabgesetzt oder aufgehoben, wenn sich der Invaliditätsgrad einer Rentenbe zügerin oder eines Rentenbezügers erhe blich ändert.</w:t>
      </w:r>
    </w:p>
    <w:p>
      <w:r>
        <w:t>Eine revisionsrechtliche Rentenherabsetzung im Sinne von Art. 17 ATSG setzt eine anspruchserhebliche Änderung der tatsächlichen Verhältnisse voraus, wel che entweder in einer objektiven Verbesserung des Gesundheitszustandes mit ent spre chend gesteigerter Arbeitsfähigkeit oder in geänderten erwerblichen Aus wir kungen einer im Wesentlichen gleich gebliebenen Gesundheitsbe ein träch ti gung liegen kann. Demgegenüber stellt eine bloss abweichende Be ur tei lung eines im Wesent lichen gleich gebliebenen Sachverhaltes keine revisions rechtlich rele vante Ände rung dar (BGE 112 V 371 E. 2b; Urteil des Bundes ge richts 9C_603/2008 vom 4. Februar 2009 E. 2.2 mit weiteren Hinweisen).</w:t>
      </w:r>
    </w:p>
    <w:p>
      <w:r>
        <w:t>Die Frage der wesentlichen Änderung in den tatsächlichen Verhältnissen beur teilt sich durch Vergleich des Sachverhalts, wie er im Zeitpunkt der ursprüng lichen Rentenverfügung bestanden hat (beziehungsweise der letzten rechts kräf tigen Verfügung, welche auf einer materiellen Prüfung des Rentenan spruchs mit rechtskonformer Sachverhaltsabklärung, Beweiswürdigung und Durchfüh rung eines Einkommensvergleichs beruht), mit demjenigen zur Zeit der streitigen Re visionsverfügung (BGE 130 V 71 E. 3.2.3 und 133 V 108; Urteil des Bundes ge richts 8C_348/2014 vom 17. November 2014 E. 2.1).</w:t>
      </w:r>
    </w:p>
    <w:p>
      <w:r>
        <w:t>Im Bereich der obligatorischen Unfallversicherung ist die erforderliche Erheb lich keit der Sachverhaltsänderung gegeben, wenn sich der Invaliditätsgrad um 5</w:t>
      </w:r>
    </w:p>
    <w:p>
      <w:r>
        <w:t>% ändert (BGE 140 V 85 E. 4.3 mit weiteren Hinweisen).</w:t>
      </w:r>
    </w:p>
    <w:p>
      <w:r>
        <w:rPr>
          <w:b/>
        </w:rPr>
        <w:t>E. 1.3</w:t>
      </w:r>
    </w:p>
    <w:p>
      <w:r>
        <w:t>Eine erhebliche Änderung der erwerblichen Auswirkungen bei an sich gleich ge bliebenem Gesundheitszustand liegt auch dann vor, wenn die versicherte Person eine besser entlöhnte Stelle gefunden hat. Das daraus resultierende höhere In va lideneinkommen ist im Vergleich zum Valideneinkommen als revi sionsrecht liche Tatsachenänderung zu berücksichtigen (SVR 1996 IV Nr. 70 S. 204 E. 3a, 3c; Kieser , ATSG-Kommentar,</w:t>
      </w:r>
    </w:p>
    <w:p>
      <w:r>
        <w:rPr>
          <w:b/>
        </w:rPr>
        <w:t>E. 1.4</w:t>
      </w:r>
    </w:p>
    <w:p>
      <w:r>
        <w:t>Ist ein Revisionsgrund gegeben, wird die Invalidität neu bemessen. Es besteht keine Bindung an die ursprüngliche Rentenfestsetzung. Die damals ermittelten Vergleichseinkommen sind frei überprüfbar (vgl. BGE 141 V 9 E. 2.3; Urteil des Bundesgerichts U 182/04 vom 25. November 2004 E. 2.1).</w:t>
      </w:r>
    </w:p>
    <w:p>
      <w:r>
        <w:rPr>
          <w:b/>
        </w:rPr>
        <w:t>E. 1.5</w:t>
      </w:r>
    </w:p>
    <w:p>
      <w:r>
        <w:t>Der Gesetzgeber hat in Art. 17 Abs. 1 ATSG die zeitliche Wirkung der Anpas sung von Rentenleistungen offen umschrieben. Aufgrund des Wortlautes „für die Zukunft“ kommt grundsätzlich eine Anpassung ab Eintritt der massgeben den Sachverhaltsänderung, auf den für die Anpassungsprüfung vorgesehen Ter min, auf den Zeitpunkt des Gesuchs der rentenbeziehenden Person, auf den Zeitpunkt des Entscheids über die Anpassung oder auf einen zeitlich dem Anpassungsent scheid folgenden Zeitpunkt in Frage. Anders als im Bereich der In validenver sicherung (vgl. Art. 88a der Verordnung über die Invaliden ver siche rung [IVV]) bestehen im Bereich der Unfallversicherung keine beson deren Anpassungsregeln (BGE 140 V 65 E. 3 mit weiteren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1.08</w:t>
      </w:r>
    </w:p>
    <w:p>
      <w:r>
        <w:t>% statt wie bisher 1 5 % liegt eine erhebliche Sachverhaltsänderung vor und es besteht kein Anspruch auf eine Invaliden rente der Unfallversicherung mehr</w:t>
      </w:r>
    </w:p>
    <w:p>
      <w:r>
        <w:t>(E. 1.1, E. 1.2).</w:t>
      </w:r>
    </w:p>
    <w:p>
      <w:r>
        <w:t>Demnach ist die Beschwerde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2</w:t>
      </w:r>
    </w:p>
    <w:p>
      <w:r>
        <w:t>Gegen den Einspracheentscheid vom 9. Mai 2019 (Urk. 2) erhob der Versicherte am 6. Juni 2019 Beschwerde ( Urk. 1) und beantragte die Weiterausrichtung der Rente.</w:t>
      </w:r>
    </w:p>
    <w:p>
      <w:r>
        <w:t>Mit Beschwerdeantwort vom 6. August 2019 ( Urk. 6) beantragte die Suva die Abweisung der Beschwerde, was dem Beschwerdeführer am 7. August 2019 zur Kenntnis gebracht wurde ( Urk. 8). Mit Gerichtsverfügung vom 1. Oktober 2019 forderte das Gericht den Beschwerdeführer auf, die in der Beschwerde erwähnten medizinischen Berichte einzureichen ( Urk. 9). Am 3 1. Oktober 2019 reichte der Beschwerdeführer diverse medizinische Berichte ein ( Urk. 13/1-2). Diese wurden der Beschwerdegegnerin am 7. November 2019 zur Kenntnis gebracht ( Urk. 14).</w:t>
      </w:r>
    </w:p>
    <w:p>
      <w:r>
        <w:rPr>
          <w:b/>
        </w:rPr>
        <w:t>E. 2.1</w:t>
      </w:r>
    </w:p>
    <w:p>
      <w:r>
        <w:t>Die Beschwerdegegnerin ging im angefochtenen Entscheid ( Urk. 2) davon aus, dass sich aufgrund der vorliegenden Akten keine Anhaltspunkte für eine wesent liche Veränderung des Gesundheitszustandes des Beschwerdeführers ergäben. Gemäss den Berichten des behandelnden Dermatologen zeige sich der Verlauf der berufsbedingten Ekzeme an den Händen des Beschwerdeführers ondulierend, mal seien sie gänzlich verschwunden, mal träten sie wieder auf. Sein Gesundheitszu stand habe sich über die Jahre nicht wesentlich verändert. Gemäss dem Arbeits vertrag vom 1 2. September 2018 betrage der monatliche Bruttolohn des Beschwerdeführers Fr. 5'300.--. Zudem entrichte die Arbeitgeberin eine Jahres endzulage in der Höhe eines durchschnittlichen Monatslohnes. Somit betrage das Einkommen, welches der Beschwerdeführer seit Oktober 2018 als Invalider erziele, Fr. 68'900.-- im Jahr ( Fr. 5'300.-- x 13). Das monatliche Bruttoeinkom men, welches der Beschwerdeführer bei seiner früheren Arbeitgeberin im Jahr 2019 hypothetisch verdienet hätte, wäre er nicht verunfallt, belaufe sich demgegenüber auf Fr. 5'358.--, was im Jahr auf Fr. 69'654.-- ergebe. Vergleiche man diese Einkommen, so resultiere eine berufskrankheitsbedingte Erwerbs einbusse von Fr. 754.-- und damit ein Invaliditätsgrad von lediglich 1.08 % . Mangels Erreichens der gesetzlichen Erheblichkeitsgrenze von 10 % bestehe folglich kein Anspruch auf eine Invalidenrente mehr (S. 5 f.).</w:t>
      </w:r>
    </w:p>
    <w:p>
      <w:r>
        <w:rPr>
          <w:b/>
        </w:rPr>
        <w:t>E. 2.2</w:t>
      </w:r>
    </w:p>
    <w:p>
      <w:r>
        <w:t>Der Beschwerdeführer machte demgegenüber beschwerdeweise geltend ( Urk. 1), er habe es seit der Berufskrankheit im Jahre 2006 schwer gehabt, einen Job zu finden. Seit 2011 habe er beim jetzigen Arbeitgeber über vier Jahre temporär gearbeitet, bis er eine Festanstellung erhalten habe. In dieser Zeit habe er weniger verdient und ein Lohnvergleich sei nie durchgeführt worden. Er sehe keinen Grund, weshalb die Invalidenrente aufgehoben werde, da es ihm gesundheitlich immer noch gleich gehe.</w:t>
      </w:r>
    </w:p>
    <w:p>
      <w:r>
        <w:rPr>
          <w:b/>
        </w:rPr>
        <w:t>E. 2.3</w:t>
      </w:r>
    </w:p>
    <w:p>
      <w:r>
        <w:t>Strittig und zu prüfen ist, ob der Beschwerdeführer auch über den 1. Februar 2019 hinaus Anspruch auf die bisherige Invalidenrente be i einem Invaliditäts grad von 15 % hat.</w:t>
      </w:r>
    </w:p>
    <w:p>
      <w:r>
        <w:t>3.</w:t>
      </w:r>
    </w:p>
    <w:p>
      <w:r>
        <w:rPr>
          <w:b/>
        </w:rPr>
        <w:t>E. 3</w:t>
      </w:r>
    </w:p>
    <w:p>
      <w:r>
        <w:t>Die Eidgenössische Alters-, Hinterlassenen- und Invalidenversicherung , IV-Stelle Graubünden , wies mit Verfügung vom 2 6. Februar 2013 einen Anspruch des Beschwerdeführers auf eine Invalidenrente ab ( Urk. 7/481).</w:t>
      </w:r>
    </w:p>
    <w:p>
      <w:r>
        <w:t>Mit Verfügung vom 1 2. März 2013 ( Urk. 7/487) schloss die Sozialversicherungs anstalt des Kantons Zürich, IV-Stelle, die Arbeitsvermittlung des Beschwerdefüh rers ab. Das Gericht zieht in Erwägung: 1.</w:t>
      </w:r>
    </w:p>
    <w:p>
      <w:r>
        <w:rPr>
          <w:b/>
        </w:rPr>
        <w:t>E. 3.1</w:t>
      </w:r>
    </w:p>
    <w:p>
      <w:r>
        <w:t>Den medizinischen Akten kann keine erhebliche Verbesserung oder Verschlech terung bezüglich der berufskrankheitsbedingten Gesundheitsstörung des Beschwerdeführers seit der Rentenzusprache mit Verfügung vom 8. Juni 2011 ( Urk. 7/353) beziehungsweise mit Einspracheentscheid vom 2 4. Mai 2012 ( Urk. 7/412) entnommen werden.</w:t>
      </w:r>
    </w:p>
    <w:p>
      <w:r>
        <w:t>So wurden beim Beschwerdeführer ein generalisierte r Pruritus, ein kumulativ- irritativ -toxisches Handekzem bei fortgesetzter manueller Tätigkeit mit Verschmutzung und verletzenden Metall-Kontakten, ein endogene r Pruritus mit follikulären Entzündungen und Kratz-Folgen sowie ein chronische r Juckreiz und eine Ekzem-Bildung der Augenlider diagnostiziert (vgl. Bericht von Dr. med. Z.___ vom 2 4. Februar 2012; Urk. 7/389/4-5), wobei ihm gemäss Suva-Kreisarzt Dr. med. A.___ aufgrund der sehr langen Ekzemvorgeschichte nur noch saubere, trockene und mechanisch wenig belastende Tätigkeiten (in einem vollen Pensum) zumutbar seien (vgl. Bericht vom 3 1. Januar 2011; Urk. 7/337) . In seiner erneuten Beurteilung vom 2 7. März 2012 ( Urk. 7/395) bestätigte Suva-Kreisarzt Dr. A.___ seine Einschätzung. Dem Verlaufsbericht des Universitätsspitals B.___ , Dermatologische Klinik, vom 1 2. März 2014 ( Urk. 7/494) kann ein stabiler Verlauf entnommen werden, wobei von einem chronisch-rezidivierenden Verlauf auszugehen sei (S. 1). Dem Beschwerdeführer sei die Arbeit zu 100 % zumutbar, jedoch sollten Arbeiten im Feuchtbereich vermieden werden (S. 2).</w:t>
      </w:r>
    </w:p>
    <w:p>
      <w:r>
        <w:t>Gemäss Bericht vom 2 8. Juni 2017 über die fachärztliche Untersuchung vom 1 0. Mai 2017 durch die Suva-Kreisärztin Dr. med. C.___ ( Urk. 7/558) leide der Beschwerdeführer wechselnd an Juckreiz an den Händen, dem Hinterkopf, dem Rücken, der Brust und unter den Armen. Gelegentlich zeige sich eine Rötung und kleine Papeln. Diese Befunde seien unterschiedlich stark ausgeprägt vorhan den und im Verlauf der Jahre in etwa stabil geblieben (S. 1). Insgesamt zeige sich ein seit Jahren weitgehen d stabiler Verlauf der Hautbeschwerden. Der Beschwer deführer sei weiterhin beim derzeitigen Arbeitgeber temporär angestellt (S. 2).</w:t>
      </w:r>
    </w:p>
    <w:p>
      <w:r>
        <w:t>Med. pract . D.___ , Fachärztin für Dermatologie und Venerologie, berichtete über die Sprechstunde vom 2 8. Februar 2019 ( Urk. 7/591) , nannte die bekannte Diagnose eines chronischen, degenerative-toxischen Handekzems und erwähnte eine zeitweilige Generalisierungstendenz sowie eine starke, endogene, psychosomatische Komponente. Sie führte aus, in der klinischen Untersuchung zeigten sich an den Handrücken trocken-schuppende ekzematöse Hautverände rungen ohne Entzündungszeichen.</w:t>
      </w:r>
    </w:p>
    <w:p>
      <w:r>
        <w:t>Den vom Beschwerdeführer eingereichten Berichten von Dr. med. E.___ , Fach arzt für Dermatologie und med. pract . D.___ ( Urk. 13/2) sind denn ebenfalls die bekannten Diagnosen sowie Angaben über einen rezidivierenden Verlauf zu entnehmen und auch die Ärzte der Dermatologischen Klinik des B.___</w:t>
      </w:r>
    </w:p>
    <w:p>
      <w:r>
        <w:t>machten im Bericht vom 1 8. Oktober 2019 ( Urk. 13/1) keine anderslautenden Angaben über den Gesundheitszustand des Beschwerdeführers.</w:t>
      </w:r>
    </w:p>
    <w:p>
      <w:r>
        <w:rPr>
          <w:b/>
        </w:rPr>
        <w:t>E. 3.2</w:t>
      </w:r>
    </w:p>
    <w:p>
      <w:r>
        <w:t>Somit ist zw ar aufgrund der medizinischen Berichte in den Akten davon auszu gehen und wird denn vom Beschwerdeführer auch nicht bestritten , dass der Gesundheitszustand des Beschwerdeführers seit der Rentenzusprache mit</w:t>
      </w:r>
    </w:p>
    <w:p>
      <w:r>
        <w:t>Verfü gung vom 8. Juni 2011 ( Urk. 7/353) beziehungsweise Einspracheentscheid vom 2 4. Mai 2012 ( Urk. 7/412) an sich</w:t>
      </w:r>
    </w:p>
    <w:p>
      <w:r>
        <w:t>gleich geblieben ist, doch haben sich die erwerblichen Verhältnisse seither erheblich geändert.</w:t>
      </w:r>
    </w:p>
    <w:p>
      <w:r>
        <w:t>Mit Rentenverfügung vom 8. Juni 20</w:t>
      </w:r>
    </w:p>
    <w:p>
      <w:r>
        <w:rPr>
          <w:b/>
        </w:rPr>
        <w:t>E. 3.3</w:t>
      </w:r>
    </w:p>
    <w:p>
      <w:r>
        <w:t>Nachdem ein Revisionsgrund vorliegt, kann der Rentenanspruch des Be schwer deführers in rechtlicher und tatsächlicher Hinsicht umfassend geprüft werden (E. 1. 4 ).</w:t>
      </w:r>
    </w:p>
    <w:p>
      <w:r>
        <w:t>In medizinischer Hinsicht hat die Beschwerdegegnerin zu Recht auf das von den Suva-Kreisärzten formulierte Zumutbarkeitsprofil , wogegen der Beschwerde führer keine Einwendungen erhoben hat, abgestellt. Der Ein kom mensvergleich gibt ebenfalls zu keinen Beanstan dun gen Anlass. Bei einem Invaliditätsgrad von</w:t>
      </w:r>
    </w:p>
    <w:p>
      <w:r>
        <w:rPr>
          <w:b/>
        </w:rPr>
        <w:t>E. 4</w:t>
      </w:r>
    </w:p>
    <w:p>
      <w:r>
        <w:t>. Aufl., 20 20 , N 3</w:t>
      </w:r>
    </w:p>
    <w:p>
      <w:r>
        <w:rPr>
          <w:b/>
        </w:rPr>
        <w:t>E. 7</w:t>
      </w:r>
    </w:p>
    <w:p>
      <w:r>
        <w:t>zu Art. 17 ATSG mit Hin weisen).</w:t>
      </w:r>
    </w:p>
    <w:p>
      <w:r>
        <w:rPr>
          <w:b/>
        </w:rPr>
        <w:t>E. 11</w:t>
      </w:r>
    </w:p>
    <w:p>
      <w:r>
        <w:t>( Urk. 7/353) und Einsprachee n t scheid vom 2 4. Mai 2012 ( Urk. 7/412) erwog die Beschwerdegegnerin, dass die Berufs krankheit des Beschwerdeführers durch weitere medizinische Massnahmen nicht gebessert werden könne. Im Rahmen der Rentenberechnung</w:t>
      </w:r>
    </w:p>
    <w:p>
      <w:r>
        <w:t>ging die Beschwer degegnerin für die Bestimmung des Invalideneinkommens von den Tabellenlöh ne n gemäss der vom Bundesamt für Statistik periodisch aktualisierten Lohnstruk turerhebung (LSE 2010, Tabelle A1, privater Sektor, Anforderungsniveau 4) aus und gewährte dem Beschwerdeführer davon einen leidensbedingten Abzug von 5 % . Sie errechnete ein Invalideneinkommen von Fr. 58'687.30 für das Jahr 2011 (vgl. Urk. 7/412 S. 10 f.).</w:t>
      </w:r>
    </w:p>
    <w:p>
      <w:r>
        <w:t>Als die Be schwerdegegnerin mit Verfügung vom 1 4. Februar 2019 (Urk. 7 / 583 ) die Auf hebung der Invali denrente per 1. Februar 2019 verfügte, war der Beschwerde führer in unselb ständiger Stellung für die</w:t>
      </w:r>
    </w:p>
    <w:p>
      <w:r>
        <w:t>Y.___ AG als Produk tionsmitarbeiter Rollerei tätig. Er arbeitete seit Juni 201 4 für diese Gesellschaft (vgl. Urk. 7/515) , jedoch vorerst in einem temporären Verhältnis , und konnte gemäss Arbeitsvertrag vom 1 2. September 2018 per 1. Oktober 2018 in eine Fest anstellung mit einem Arbeitspensum von 100 % zu einem monatlichen Brutto lohn von Fr. 5'300.-- wechseln (vgl. Urk. 7/575). Der Beschwerdeführer hat sich mit der seit 2014 ausgeübten Arbeit für die Y.___ AG ein erwerbliches Betäti gungsfeld neu erschlossen, in welchem er seine berufskrankheitsbedingte Rest arbeitsfähigkeit verwerten und seit Oktober 2018 gar ein rentenaus schliessen des Ein kommen erzielen kann. Wird d as Einkommen als Pro duktionsmitarbeiter Rollerei bei der Y.___ AG von Fr. 68'900.-- ( Fr. 5'300.-- x 13) pro Jahr dem von der Beschwerdegegnerin ermittelte n , unbestritten gebliebene n hypo the tische n</w:t>
      </w:r>
    </w:p>
    <w:p>
      <w:r>
        <w:t>Validen einkommen 2019 von Fr. 69 ‘ 654.-- (Urk. 2 S. 6 Ziff. 2bb ; vgl. auch Urk. 7/135, Urk. 7/345, Urk. 7/523, Urk. 7/578 ) gegenübergestellt, resultiert</w:t>
      </w:r>
    </w:p>
    <w:p>
      <w:r>
        <w:t>eine berufskrankheitsbedingte Erwerbseinbusse von Fr. 754.-- und damit ein Invaliditätsgrad von 1.08 % .</w:t>
      </w:r>
    </w:p>
    <w:p>
      <w:r>
        <w:t>Mithin liegt bei an sich gleich gebliebenem Gesundheitszustand</w:t>
      </w:r>
    </w:p>
    <w:p>
      <w:r>
        <w:t>eine erhebliche Änderung der erwerblichen Auswirkungen vor. Die Beschwerdegegnerin ist mithin zu Recht von einem Revisionsgrund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