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UV.2019.00058 vom 7. April 2020</w:t>
      </w:r>
    </w:p>
    <w:p>
      <w:r>
        <w:t>ZH Sozialversicherungsgericht, 2020-04-07, DE</w:t>
      </w:r>
    </w:p>
    <w:p>
      <w:r>
        <w:rPr>
          <w:b/>
        </w:rPr>
        <w:t xml:space="preserve">Quelle: </w:t>
      </w:r>
      <w:r>
        <w:t>https://mcp.opencaselaw.ch/entscheid/zh_sozialversicherungsgericht_UV.2019.00058</w:t>
      </w:r>
    </w:p>
    <w:p>
      <w:r>
        <w:t>FR: ZH_SOZIALVERSICHERUNGSGERICHT UV.2019.00058 du 7 avril 2020</w:t>
      </w:r>
    </w:p>
    <w:p>
      <w:r>
        <w:t>IT: ZH_SOZIALVERSICHERUNGSGERICHT UV.2019.00058 del 7 aprile 2020</w:t>
      </w:r>
    </w:p>
    <w:p>
      <w:pPr>
        <w:pStyle w:val="Heading2"/>
      </w:pPr>
      <w:r>
        <w:t>Erwägungen</w:t>
      </w:r>
    </w:p>
    <w:p>
      <w:r>
        <w:rPr>
          <w:b/>
        </w:rPr>
        <w:t>E. 1</w:t>
      </w:r>
    </w:p>
    <w:p>
      <w:r>
        <w:t>2). Die Betriebstätigkeit umschrieb er als Beratung, Kalkulation, Aus mass, Baucontrolling und aktive Bauarbeiten. Zur Prüfung der sozialversiche rungsrechtlichen Stellung ersuchte die Suva den Gesuchsteller um weitere Unter lage n (Schreiben vom 1 4. März 2016 [ Urk. 10/3 ] ) . Mit Eingabe vom 1 8. April 2016 ( Urk. 10/5) gab X.___ weitere Auskünfte (S. 1-4) und reichte verschie dene Rechnungen (S. 5-14) und Offerten (S. 15-26 ) sowie die Versicherungsaus weise für die Erwerbsausfallversicherung (S. 27-29) und eine Offerte Haftpflicht versicherung (S. 30-3</w:t>
      </w:r>
    </w:p>
    <w:p>
      <w:r>
        <w:rPr>
          <w:b/>
        </w:rPr>
        <w:t>E. 3</w:t>
      </w:r>
    </w:p>
    <w:p>
      <w:r>
        <w:t>des Bundesgesetzes über die Unfallversicherung (UVG) den gesamten Prämienbetrag schuldet (vgl. Urteil des Bundesgerichts 8C_808/2018 vom 8. August 2019 E. 5.2.5) .</w:t>
      </w:r>
    </w:p>
    <w:p>
      <w:r>
        <w:t>Laut Sach verhaltsdarstellung im Einspracheentscheid vom 5. Februar 2019 hat der als Ar beitgeber angesprochene Z.___ gegen die Nacherfassung der als un selbständiges Erwerbseinkommen qualifizierten, an den Beschwerdeführer ausbe zahlten Entschädigungen keine Einsprache erhoben. Aus diesem Grund wurde auf eine Beiladung verzichtet. Es ist ihm jedoch eine Ausfertigung dieses Urteils zu zustellen. 2.</w:t>
      </w:r>
    </w:p>
    <w:p>
      <w:r>
        <w:t>Die Beschwerdegegnerin hat die Grundsätze, Merkmale und Kriterien , nach denen die sozialversicherungsrechtliche Stellung einer Erwerbstätigkeit als selbständig oder unselbständig beurteilt wird, zutreffend dargelegt ( Urk. 2 Ziffer. 2.2 bis Zif fer 2.5). Es kann, um Wiederholungen zu vermeiden, hierauf verwiesen werden. Richtig ist auch, d ass, wenn eine Person gleichzeitig mehrere Tätigkeiten ausübt, grundsätzlich für jede Tätigkeit die sozialversicherungsrechtliche Qualifikation gesondert zu prüfen ist, selbst wenn die Arbeiten für eine und dieselbe Firma vorgenommen werden (BGE 122 V 172). Dass der Beschwerdeführer von der Be schwerdegegnerin für gewisse Teile seines Betriebes und mit Unterstellungsver fügung vom 2 3. Apr il 2018 für den ganzen Betrieb mit Wirkung ab 3. April 2018 als Selbständigerwerbender anerkannt wurde ( Urk. 10/13 und Urk. 10/8 ), wie auch von der Sozialversicherungsanstalt des Kantons Zürich, Ausgleichskasse, (vgl. Urk. 10/ 18 /9) , steht der eigenständigen Qualifikation der für die Firma Z.___</w:t>
      </w:r>
    </w:p>
    <w:p>
      <w:r>
        <w:t>ausgeführten Tätigkeiten (aus dem Jahre 2016) nicht entgegen (vgl. AHI-Praxis 1995 136).</w:t>
      </w:r>
    </w:p>
    <w:p>
      <w:r>
        <w:rPr>
          <w:b/>
        </w:rPr>
        <w:t>E. 3.1</w:t>
      </w:r>
    </w:p>
    <w:p>
      <w:r>
        <w:t>Der Beschwerdeführer legt e mit Einspracheergänzung en vom 9. u nd 24. Dezem ber 2018 (Urk. 10/22 , Urk. 10/26) seine Tätigkeiten für die</w:t>
      </w:r>
    </w:p>
    <w:p>
      <w:r>
        <w:t>Firma</w:t>
      </w:r>
    </w:p>
    <w:p>
      <w:r>
        <w:t>Z.___ im Jahre 2016 detailliert dar. Danach handelte es sich um im Stundenans atz entschädigte Aushub- und Abbruch arbeiten ( Urk. 10/22/12-13, Urk. 10/22/17-20 ,</w:t>
      </w:r>
    </w:p>
    <w:p>
      <w:r>
        <w:t>Urk. 10/22/24-25), ebenfalls nach Zeit entschädigte Kalkulations- und Ausmass arbeiten ( Urk. 10/22/14-16,</w:t>
      </w:r>
    </w:p>
    <w:p>
      <w:r>
        <w:t>Urk. 10/22/21-23 , Urk. 10/22/30-31 ), über die F irma Z.___</w:t>
      </w:r>
    </w:p>
    <w:p>
      <w:r>
        <w:t>in Rechnung gestellte</w:t>
      </w:r>
    </w:p>
    <w:p>
      <w:r>
        <w:t>Baggerarbeiten für vom Beschwerdeführer</w:t>
      </w:r>
    </w:p>
    <w:p>
      <w:r>
        <w:t>akqui rierte Kunden</w:t>
      </w:r>
    </w:p>
    <w:p>
      <w:r>
        <w:t>( Urk. 10/22/27, Urk. 10/22/29) und darauf entfallende Provisions zah lungen, welche sich nach den vermittelten Auftragsvolumen richteten (vgl. Urk. 10/22/26 und Urk. 10/22/28). Der Beschwerdeführer übte die Aushub- und Abbrucharbeiten mit Baggern und Maschinen der Firma Z.___ aus, wobei er ver einzelt zusätzliche Geräte zumietete und der Firma Z.___ verrechnet e . D er Be schwerdeführer</w:t>
      </w:r>
    </w:p>
    <w:p>
      <w:r>
        <w:t>beschäftigte selber keine Arbeitnehmer (vgl. Urk. 10/26).</w:t>
      </w:r>
    </w:p>
    <w:p>
      <w:r>
        <w:rPr>
          <w:b/>
        </w:rPr>
        <w:t>E. 3.2</w:t>
      </w:r>
    </w:p>
    <w:p>
      <w:r>
        <w:t>Damit ist für diese Tätigkeiten keine wesentliche eigene Betriebsstruktur mit ei genen kostspieligen Maschinen oder hohe n</w:t>
      </w:r>
    </w:p>
    <w:p>
      <w:r>
        <w:t>Fixkosten dargetan. D er Beschwerde führer wurde (mit Ausnahme der Provisionszahlungen) im Stundenlohn gemäss Rapport entschädigt, und die Arbeiten wurden von ihm persönlich ausgeführt und den Bauherren/Architekten namens und durch die Firma Z.___ offeriert und in Rechnung gestellt. Der Beschwerdeführer trat gegenüber der Bauherrschaft nicht als Vertragspartner auf. Damit fehlen sämtliche charakteristischen Merk male einer selbständigen Erwerbstätigkeit. Die vom Beschwerdeführer angeführ ten Fixkosten bzw. Investitionen, darunter Büromiete, Software und Versiche rungsprämien, vermögen daran nichts zu ändern, zumal der Beschwerdeführer für andere Tätigkeiten als Selbständigerwerbender anerkannt wurde. Ausserdem zeugt der in der Erfolgsrechnung ( Urk. 10/22/5ff.) ausgewiesen e Betriebsaufwand von keinen erheblichen Fixkosten.</w:t>
      </w:r>
    </w:p>
    <w:p>
      <w:r>
        <w:t>Was die Provisionszahlungen bet rifft , ist festzuhalten, dass den Beschwerdeführer nach Lage der Akten zwar kein Konkurrenzverbot traf, er also auch für andere Baufirmen Aufträge hätte vermitteln können, auf Provisionsbasis entschädigte Agenten jedoch gemäss Rechtsprechung des Bundesgerichts regelmässig zu den Unselbständigerwerbenden gerechnet werden, es sei denn, es lägen besondere , hier jedoch nicht anzutreffende Umstände vor, unter anderem eigene Geschäfts räumlichkeiten und Angestellte (vgl. Ueli Kieser , Rechtsprechung des Bundesge richts zur Alters- und Hinterlassenenversicherung , 3. Aufl. 2012, Art.</w:t>
      </w:r>
    </w:p>
    <w:p>
      <w:r>
        <w:rPr>
          <w:b/>
        </w:rPr>
        <w:t>E. 3.3</w:t>
      </w:r>
    </w:p>
    <w:p>
      <w:r>
        <w:t>Zusammenfassend ist mit der Beschwerdegegnerin davon auszugehen, dass die vom Beschwerdeführer im Jahre 2016 für Z.___ ausgeübten Tätigkeiten als unselbständige Erwerbstätigkeit zu qualifizieren sind , weshalb der Beschwer deführer diesbezüglich als Arbeitnehmer der Beschwerdegegnerin unterstellt und d er Arbeitgeber auf den Entschädigungen die Prämien für Berufs- und Nichtbe rufsunfälle abzuführen hat. Damit erweist sich der angefochtene Einspracheent scheid vom 5. Februar 2019 als rechtens und ist die Beschwerde abzuweisen. 4.</w:t>
      </w:r>
    </w:p>
    <w:p>
      <w:r>
        <w:t>Das Verfahren ist kostenlos ( Art. 1 UVG in Verbindung mit Art. 61 lit . a des Bun desgesetzes über den Allgemeinen Teil des Sozialversicherungsrechts, ATSG). Das Gericht erkennt: 1.</w:t>
      </w:r>
    </w:p>
    <w:p>
      <w:r>
        <w:t>Die Beschwerde wird abgewiesen. 2.</w:t>
      </w:r>
    </w:p>
    <w:p>
      <w:r>
        <w:t>Das Verfahren ist kostenlos. 3.</w:t>
      </w:r>
    </w:p>
    <w:p>
      <w:r>
        <w:t>Zustellung gegen Empfangsschein an: - X.___ - Suva - Z.___ , Hoch- und Tiefbau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HurstKreyenbühl</w:t>
      </w:r>
    </w:p>
    <w:p>
      <w:r>
        <w:rPr>
          <w:b/>
        </w:rPr>
        <w:t>E. 5</w:t>
      </w:r>
    </w:p>
    <w:p>
      <w:r>
        <w:t>Rz . 25f.) . Hier kommt ausserdem hinzu, dass die Werkaufträge gleichzeitig namens der Firma Z.___ durch den Beschwerdeführer als Arbeitnehmer ausgeführt wurden, daher eine besonders nahe Beziehung zu seiner unselbständigen Erwerbstätigkeit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