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UV.2018.00295 vom 1. März 2019</w:t>
      </w:r>
    </w:p>
    <w:p>
      <w:r>
        <w:t>ZH Sozialversicherungsgericht, 2019-03-01, DE</w:t>
      </w:r>
    </w:p>
    <w:p>
      <w:r>
        <w:rPr>
          <w:b/>
        </w:rPr>
        <w:t xml:space="preserve">Quelle: </w:t>
      </w:r>
      <w:r>
        <w:t>https://mcp.opencaselaw.ch/entscheid/zh_sozialversicherungsgericht_UV.2018.00295</w:t>
      </w:r>
    </w:p>
    <w:p>
      <w:r>
        <w:t>FR: ZH_SOZIALVERSICHERUNGSGERICHT UV.2018.00295 du 1 mars 2019</w:t>
      </w:r>
    </w:p>
    <w:p>
      <w:r>
        <w:t>IT: ZH_SOZIALVERSICHERUNGSGERICHT UV.2018.00295 del 1 marzo 2019</w:t>
      </w:r>
    </w:p>
    <w:p>
      <w:pPr>
        <w:pStyle w:val="Heading2"/>
      </w:pPr>
      <w:r>
        <w:t>Erwägungen</w:t>
      </w:r>
    </w:p>
    <w:p>
      <w:r>
        <w:rPr>
          <w:b/>
        </w:rPr>
        <w:t>E. 1</w:t>
      </w:r>
    </w:p>
    <w:p>
      <w:r>
        <w:t>Die im Jahre 198</w:t>
      </w:r>
    </w:p>
    <w:p>
      <w:r>
        <w:rPr>
          <w:b/>
        </w:rPr>
        <w:t>E. 1.1</w:t>
      </w:r>
    </w:p>
    <w:p>
      <w:r>
        <w:t>Gemäss Art. 6 des Bundesgesetz es über die Unfallversicherung (UVG) in der hier anwendbaren, seit 1. Januar 2017 in Kraft stehenden Fassung werden – soweit das Gesetz nichts anderes bestimmt – die Versicherungsleistungen bei Berufsun fällen, Nichtberufsunfällen und Berufskrankheiten gewährt (Abs. 1). Die Versi 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w:t>
      </w:r>
    </w:p>
    <w:p>
      <w:r>
        <w:rPr>
          <w:b/>
        </w:rPr>
        <w:t>E. 1.3</w:t>
      </w:r>
    </w:p>
    <w:p>
      <w:r>
        <w:t>Für die Beurteilung des adäquaten Kausalzusammenhangs zwischen einem Unfall und der infolge eines Schleudertraumas der Halswirbelsäule auch nach Ablauf einer gewissen Zeit nach dem Unfall weiterbestehenden Arbeits- beziehungsweise Erwerbsunfähigkeit, die nicht auf organisch nachweisbare Funktionsausfälle zu rückzuführen ist, rechtfertigt es sich, im Einzelfall analog zur Methode vorzuge hen, wie sie für psychische Störungen nach einem Unfall entwickelt worden ist (vgl. BGE 123 V 98 E. 3b, 122 V 415 E. 2c, 117 V 359 E. 5d/ bb , vgl. auch 115 V 133 E. 6).</w:t>
      </w:r>
    </w:p>
    <w:p>
      <w:r>
        <w:rPr>
          <w:b/>
        </w:rPr>
        <w:t>E. 1.4</w:t>
      </w:r>
    </w:p>
    <w:p>
      <w:r>
        <w:t>Das Gericht hat den Sachverhalt von Amtes wegen festzustellen und demnach zu prüfen, ob die vorliegenden Beweismittel eine zuverlässige Beurteilung des strit tigen Leistungsanspruches gestatten. Hinsichtlich des Beweiswertes eines Arztbe richtes ist entscheidend, ob der Bericht für die streitigen Belange umfassend ist, auf allseitigen Untersuchungen beruht, auch die geklagten Beschwerden berück sichtigt, in Kenntnis der Vorakten (Anamnese) abgegeben worden ist, in der Dar legung der medizinischen Zusammenhänge und in der Beurteilung der medizini schen Situation einleuchtet und ob die Schlussfolgerungen des Experten begrün det sind (BGE 125 V 352 E. 3a, 122 V 160 E. 1c, je mit Hinweisen).</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bb / ee ). Trotz dieser grundsätzlichen Beweiseignung kommt den Berichten versicherungsinterner medizinischer Fachpersonen praxisgemäss nicht dieselbe Beweiskraft zu wie einem gerichtlichen oder im Verfahren nach Art. 44 des Bundesgesetz es über den Allgemeinen Teil des Sozialversicherungsrechts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139 V 225 E. 5.2; 135 V 465 E. 4.4 mit Hinweisen; Urteil des Bundesgerichts 8C_348/201</w:t>
      </w:r>
    </w:p>
    <w:p>
      <w:r>
        <w:rPr>
          <w:b/>
        </w:rPr>
        <w:t>E. 2</w:t>
      </w:r>
    </w:p>
    <w:p>
      <w:r>
        <w:t>Dagegen erhob der Vertreter der Versicherten am 1 1. Dezember 2018 Beschwerde und beantragte, es seien der Beschwerdeführerin über den 2. Februar 2018 hinaus weiterhin die gesetzlichen Leistungen für die Folgen des Unfalls vom 2. Novem ber 2017 auszurichten; unter Entschädigungsfolgen zu Lasten der Beschwerde gegnerin ( Urk. 1 S. 2).</w:t>
      </w:r>
    </w:p>
    <w:p>
      <w:r>
        <w:t>Mit Beschwerdeantwort vom 2 4. Januar 2019 beantragte die Beschwerdegegnerin die Abweisung der Beschwerde ( Urk. 7), was der Beschwerdeführerin mit Verfü gung vom 2 5. Januar 2019 zur Kenntnis gebracht wurde ( Urk. 9). Das Gericht zieht in Erwägung: 1.</w:t>
      </w:r>
    </w:p>
    <w:p>
      <w:r>
        <w:rPr>
          <w:b/>
        </w:rPr>
        <w:t>E. 2.1</w:t>
      </w:r>
    </w:p>
    <w:p>
      <w:r>
        <w:t>Die Beschwerdegegnerin begründete den angefochtenen E inspracheentscheid da mit, dass gestützt auf die Akten von einer leichten HWS-Distorsion ohne struk turelle unfallbedingte Läsionen auszugehen und gemäss der Fachliteratur ein Endzustand nach spätestens drei Monaten anzunehmen sei. Aufgrund der klaren Aktenlage entfalle die Notwendigkeit einer externen Begutachtung ( Urk. 2 S. 3</w:t>
      </w:r>
    </w:p>
    <w:p>
      <w:r>
        <w:t>f.).</w:t>
      </w:r>
    </w:p>
    <w:p>
      <w:r>
        <w:rPr>
          <w:b/>
        </w:rPr>
        <w:t>E. 2.2</w:t>
      </w:r>
    </w:p>
    <w:p>
      <w:r>
        <w:t>Demgegenüber machte der Vertreter der Beschwerdeführerin im Wesentlichen geltend, dass sich Dr. A.___ in seinem Aktengutachten hinsichtlich der spärlichen Dokumentation zu den bestehenden Beschwerden beklagt habe, sodass die Be weistauglichkeit für eine Aktenbeurteilung nicht gegeben sei ( Urk. 1 S. 7). Weiter könne die Beschwerdegegnerin auch aus dem Reintegrationsleitfaden Unfall des Schweizerischen Versicherungsverbandes (SVV) nichts zu ihren Gunsten ableiten, da dieser lediglich als Arbeitsinstrument für die Mitarbeite nden eine r Versiche rungsgesellschaft dien e, um rechtzeitig die erforderlichen Abklärungen oder Un terstützungen zu veranlassen (S. 7 f.). Nach der Rechtsprechung des Bundesge richts sei bei länger bestehenden Beschwerden ohne deutliche Besserungstendenz zügig eine interdisziplinäre Abklärung in die Wege zu leiten (S. 9). 3. 3.1</w:t>
      </w:r>
    </w:p>
    <w:p>
      <w:r>
        <w:t>Dr. Z.___ konnte anlässlich der Erstbehandlung eine Schreckreaktion, Schmer zen im Bereich Thorax und Sternum sowie eine deutliche panvertebrale Bewe gungseinschränkung HWS-betont feststellen und diagnostizierte ein kraniozervi kales Beschleunigungstrauma . Ab dem 2. November 2017 sei von einer 100%igen Arbeitsunfähigkeit auszugehen, vora ussichtlich für die Dauer von 4 bis 5 Wochen ( Urk. 8/3).</w:t>
      </w:r>
    </w:p>
    <w:p>
      <w:r>
        <w:t>Dem entsprechenden Dokumentationsbogen ist dabei zu entnehmen, dass die Be schwerdeführer in sofort nach dem Unfall über Kopf- und Nackenschmerzen sowie über Hör- und Sehstörung en geklagt hat , bei blander Anamnese. Weiter wurde eine durchgehend eingeschränkte und schmerzhafte Beweglichkeit der HWS ver merkt bei Ruheschmerzen mit Ausstrahlung in die HWS sowie Thoraxschmerzen bei unauffälliger neurologischer Untersuchung. Als vorläufige Diagnose wurde eine HWS-Distorsion Grad II diagnostiziert und als Therapie wurden Analgetika, NSAR systemisch sowie Physiotherapie verordnet ( Urk. 8/4). 3.2</w:t>
      </w:r>
    </w:p>
    <w:p>
      <w:r>
        <w:t>Infolge therapieresistenter Kopfschmerzen mit Konzentrations- und Schlafstörun gen sowie Schwindel und verminderter kognitiver Leistung wie auch Ausstrah lungen in die HWS wurde am 2 9. November 2017 ein MRI des Schädels erstellt. Dabei konnten keine posttraumatischen Veränderungen festgestellt werden ( Urk. 8/7). 3.3</w:t>
      </w:r>
    </w:p>
    <w:p>
      <w:r>
        <w:t>In seinem Zwischenbericht vom 1 0. Februar 2018 berichtete Dr. Z.___ über einen protrahierten Verlauf bei weiterhin objektivierter schmerzbedingter Bewe gungseinschränkung . Im Bürobereich sei eine Wiederaufnahme der Arbeit inner halb zwei bis vier Wochen zu 50 % anzustreben ( Urk. 8/14). 3.4</w:t>
      </w:r>
    </w:p>
    <w:p>
      <w:r>
        <w:t>Dr. A.___ bestätigte in seinem neurologischen Aktengutachten vom 5. März 2018 die Diagnose einer leichten HWS-Distorsion Grad II ( Urk. 8/21 S. 4). Die ärztliche Dokumentation zu den bestehenden Beschwerden sei ausgesprochen spärlich. Die Angaben persistierender Kopf- und Nackenschmerzen sei unspezifisch und ge nüge den Anforderungen einer fachärztlich-neurologischen Kopfschmerzanam nese nicht. Rein aufgrund der Akten könnten bei unauffälliger MR-Bildgebung des Schädels und der HWS sowie unter Berücksichtigung des natürlichen Verlaufs einer leichten HWS-Distorsion keine anhaltenden unfallbedingten Beschwerden erklärt werden. Leichte Beschleunigungsverletzungen der HWS würden in der Re gel einen günstigen Verlauf nehmen, aufgrund der gutachterlichen Referenzlite ratur könnten Beschwerden, die über einen Zeitraum von mehr als drei Monaten anhalten würden, nicht mehr als unfallkausal erklärt werden, sodass vorliegend keine unfallkausalen Beschwerden mehr zu erwarten wären (S. 5 f.). Aus neuro logischer Sicht sei von einer uneingeschränkten Arbeitsfähigkeit auszugehen</w:t>
      </w:r>
    </w:p>
    <w:p>
      <w:r>
        <w:t>( S. 7). 3.5</w:t>
      </w:r>
    </w:p>
    <w:p>
      <w:r>
        <w:t>In seinem Zwischenbericht vom 1 4. Mai 2018 führte Dr. Z.___ aus, dass die Be schwerdeführerin weiterhin über persistierende HWS-Beschwerden klage, welche zum Teil noch immer stark seien und zu Schlafstörungen führen würden. Die Frage, ob unfallfremde Faktoren mitspielten, beantwortete er mit «eher nein». Eine Wiederaufnahme der Arbeit sei zu 80 % knapp möglich ( Urk. 8/23). 3.6</w:t>
      </w:r>
    </w:p>
    <w:p>
      <w:r>
        <w:t>Dr. B.___ diagnostizierte in seiner Kurzbeurteilung anhand der Akten vom 2 3. Mai 2018 ein leichtes HWS-Distorsionstrauma Grad II. Die initialen Be schwerden hätten im Zusammenhang mit dem Ereignis vom 2. November 2017 gestanden, wobei der Status quo ante nach 4 bis maximal 6 Monaten erreicht worden sei. Er schliesse sich den Ausführungen von Dr. A.___ an ( Urk. 8/24). 3.7</w:t>
      </w:r>
    </w:p>
    <w:p>
      <w:r>
        <w:t>Dr. med. C.___ , Spezialarzt FMH für Chirurgie, diagnostizierte am 21. Sep tember 2018 ein chronifiziertes</w:t>
      </w:r>
    </w:p>
    <w:p>
      <w:r>
        <w:t>zervikozephales Schmerzsyndrom bei Status nach HWS-Distorsion ( Urk. 3). Das MRI vom 9. September 2018 zeige eine geringe Dis kusprotrusion C4-7 ohne Neurokompression. Weiter sprach er von posttraumati schen Veränderungen nach einer HWS-Distorsion im Sinne von vergrösserten Schmerzarealen und verbreiteter spinaler Hyperexitabilität . 4. 4.1</w:t>
      </w:r>
    </w:p>
    <w:p>
      <w:r>
        <w:t>Aus den vorliegenden Akten ergibt sich, dass die Beschwerdegegnerin keine ver sicherungsexternen Abklärungen vorgenommen hat. Das von der Haftpflichtver sicherung des Unfallverursachers (vgl. Polizeirapport, Urk. 8/16a) beigezogene neurologische Gutachten stellt zudem eine blosse Aktenbeurteilung dar, ebenso die Kurzbeurteilung des beratenden Arztes der Beschwerdegegnerin.</w:t>
      </w:r>
    </w:p>
    <w:p>
      <w:r>
        <w:t>Nachdem bereits im Hinblick auf versicherungsinterne Beurteilungen von erhöh ten Beweisanforderungen auszugehen ist, gilt dies ebenso für medizinische Ak tenberichte. Solche</w:t>
      </w:r>
    </w:p>
    <w:p>
      <w:r>
        <w:t>sind</w:t>
      </w:r>
    </w:p>
    <w:p>
      <w:r>
        <w:t>lediglich dann beweistauglich, wenn die Akten ein voll ständiges Bild über Anamnese, Verlauf und gegenwärtigen Status ergeben und diese Daten unbestritten sind; der Untersuchungsbefund muss lückenlos vorlie gen, damit der Berichterstatter imstande ist, sich aufgrund der vorhandenen Un terlagen ein vollständiges Bild zu verschaffen (Urteil des Bundesgericht 8C_135/2017 vom 4. September 2 017 E. 3.2).</w:t>
      </w:r>
    </w:p>
    <w:p>
      <w:r>
        <w:t>Der Vertreter der Beschwerdeführerin weist zu Recht darauf hin, dass Dr. A.___ auf die spärliche Dokumentation zu den bestehenden Beschwerden hinw ies (Urk. 8/21 S. 5). Gerade bei einer solchen Aktenlage kann eine reine Aktenbeur teilung eine Einschätzung der Sachlage</w:t>
      </w:r>
    </w:p>
    <w:p>
      <w:r>
        <w:t>unter Vornahme einer Untersuchung nicht ersetzen. Eine versicherungsexterne Abklärung ist dabei schon bei geringen Zweifeln an der versicherungsinternen Beurteilung angezeigt , welche die von den behandelnden Ärzten als eher unfallkausal bzw. posttraumatisch beurteilten Be schwerden durchaus zu erwecken vermögen. 4.2</w:t>
      </w:r>
    </w:p>
    <w:p>
      <w:r>
        <w:t>Weiter erscheint es auch fraglich, ob eine rein neurologische Abklärung dem vor liegenden Sachverhalt gerecht wird. Unbestritten ist, dass die Beschwerdegegne rin beim Unfall vom 2. November 2017 ein HWS-Schleudertrauma Grad II erlitten h at; das Vorliegen des dabei typischen bunten Beschwerdebildes ergibt sich dabei aus dem Dokumentationsbogen für Erstkonsultation nach kranio -zervikalem Be schleunigungstrauma ( Urk. 8/4). Die gestellte Diagnose erscheint dabei auch un ter Berücksichtigung der objektiven Unfallschwere als plausibel. So</w:t>
      </w:r>
    </w:p>
    <w:p>
      <w:r>
        <w:t>ermittelte das versicherungstechnische Gutachten eine stossbedingte Geschwindigkeitsände rung quer zur Fahrtrichtung von 7-11 km/h sowie entgegen der Fahrtrichtung von 15-20 km/h ( Urk. 8/33a). In der Folge zeigte sich ein protrahierter Verlauf mit einer Tendenz zur Chronifizierung (vgl. Urk. 8/32b, Urk. 3), sodass rechtspre chungsgemäss die Anordnung einer interdisziplinären Abklärung angezeigt ist (BGE 134 V 109 E. 9.3 ).</w:t>
      </w:r>
    </w:p>
    <w:p>
      <w:r>
        <w:t>Vor diesem Hintergrund vermag die Aktenbeurteilung durch</w:t>
      </w:r>
    </w:p>
    <w:p>
      <w:r>
        <w:t>Dr. A.___ auch in inhaltlicher Sicht nicht zu überzeugen. U nbestritten ist , dass bei einer Vielzahl der Schleudertraumafälle schon nach kurzer Zeit eine deutliche Besserung eintritt (vgl. BGE 134 V 109 E. 9.3). Daraus kann aber ohne fundierte Abklärung des Einzelfalls nicht auf eine fehlende Kausalität nach statistischen Mittelwerten ge schlossen werden. Andernfalls wäre die vom Bundesgericht entwickelte Recht sprechung zur Adäquanz bei HWS-Distorsionen ( Schleudertraumapraxis ) obsolet, wäre die natürliche Kausalität doch ohnehin nach einer tabellarisch festgesetzten Dauer zu verneinen. 4.3</w:t>
      </w:r>
    </w:p>
    <w:p>
      <w:r>
        <w:t>Zusammenfassend ist die Sache an die Beschwerdegegnerin zur Anordnung einer externen interdisziplinären Abklärung zurückzuweisen. Nachdem die Leistungs einstellung per 2. Februar 2018 erfolgte und nun ohnehin eine umfassende Ab klärung ansteht, kann im vorliegenden Verfahren</w:t>
      </w:r>
    </w:p>
    <w:p>
      <w:r>
        <w:t>offen bleiben , ob der vor Erlass des angefochtenen Einspracheentscheids eingetretene Sachverhalt vom 8. Sep tember 2018 (von einem Gast am Nacken gepackt und geschüttelt worden, Urk. 8/32b) zu einer weiteren Verschlechterung des Zustandes geführt hat. Die Gutachter werden sich umfassend zu den Unfallfolgen der Ereignisse vom 2. No vember 2017 und 8. September 2018 zu äussern haben, bei Bejahung der natür lichen Kausalität werden bei fehlenden organischen Schäden auch die für die Adäquanz massgebenden Kriterien zu prüfen sein . 5.</w:t>
      </w:r>
    </w:p>
    <w:p>
      <w:r>
        <w:t>Ausgangsgemäss ist die Beschwerdegegnerin zu verpflichten, der Beschwerdefüh rerin eine angemessene Prozessentschädigung zu bezahlen, welche in Anwen dung von Art. 61 lit . g ATSG, namentlich unter Berücksichtigung der Bedeutung der Streitsache und der Schwierigkeit des Prozesses auf Fr. 1'8 00.-- (inklusive Barauslagen und Mehrwertsteuer) festzusetzen ist. Das Gericht erkennt: 1.</w:t>
      </w:r>
    </w:p>
    <w:p>
      <w:r>
        <w:t>Die Beschwerde wird in dem Sinne gutgeheissen, dass der angefochtene Einsprache entscheid vom 1 2. November 2018 aufgehoben und die Sache an die Beschwerdegeg nerin zurückgewiesen wird, damit diese, nach erfolgter Abklärung im Sinne der E rwä gungen, über den Leistungsanspruch der Beschwerdeführerin neu verfüge. 2.</w:t>
      </w:r>
    </w:p>
    <w:p>
      <w:r>
        <w:t>Das Verfahren ist kostenlos. 3.</w:t>
      </w:r>
    </w:p>
    <w:p>
      <w:r>
        <w:t>Die Beschwerdegegnerin w ird verpflichtet, der Beschwerdeführerin eine Prozessent schädigung von Fr. 1’800 .-- ( inklusive Barauslagen und Mehrwertsteuer ) zu bezahlen. 4.</w:t>
      </w:r>
    </w:p>
    <w:p>
      <w:r>
        <w:t>Zustellung gegen Empfangsschein an: - Rechtsanwalt Dr. iur . André Largier - VAUDOISE ALLGEMEINE, Versicherungs-Gesellschaft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r>
        <w:rPr>
          <w:b/>
        </w:rPr>
        <w:t>E. 6</w:t>
      </w:r>
    </w:p>
    <w:p>
      <w:r>
        <w:t>vom 9. Dezember 2016 E. 2.4).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