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UV.2018.00282 vom 2. März 2020</w:t>
      </w:r>
    </w:p>
    <w:p>
      <w:r>
        <w:t>ZH Sozialversicherungsgericht, 2020-03-02, DE</w:t>
      </w:r>
    </w:p>
    <w:p>
      <w:r>
        <w:rPr>
          <w:b/>
        </w:rPr>
        <w:t xml:space="preserve">Quelle: </w:t>
      </w:r>
      <w:r>
        <w:t>https://mcp.opencaselaw.ch/entscheid/zh_sozialversicherungsgericht_UV.2018.00282</w:t>
      </w:r>
    </w:p>
    <w:p>
      <w:r>
        <w:t>FR: ZH_SOZIALVERSICHERUNGSGERICHT UV.2018.00282 du 2 mars 2020</w:t>
      </w:r>
    </w:p>
    <w:p>
      <w:r>
        <w:t>IT: ZH_SOZIALVERSICHERUNGSGERICHT UV.2018.00282 del 2 marzo 2020</w:t>
      </w:r>
    </w:p>
    <w:p>
      <w:pPr>
        <w:pStyle w:val="Heading2"/>
      </w:pPr>
      <w:r>
        <w:t>Erwägungen</w:t>
      </w:r>
    </w:p>
    <w:p>
      <w:r>
        <w:rPr>
          <w:b/>
        </w:rPr>
        <w:t>E. 1</w:t>
      </w:r>
    </w:p>
    <w:p>
      <w:r>
        <w:t>X.___ , geboren 1957, war für die Y.___ AG im Rahmen temporärer Einsätze als Kranführer tätig und dadurch bei der Suva obligatorisch gegen die Folgen von Berufs- und Nichtberufsunfällen versichert , als ihm am 7. April 2016 ein Betonklotz auf den linken Arm fiel ( Urk. 6/1, 6/71/5 f.). Dies hatte eine komplette Ruptur der distalen B izepssehne zur Folge (vgl. Urk. 6/8, 6/13 und 6/16), weshalb die Suva die gesetzlichen Leistungen erbrachte (Heilbe handlung, Taggeld; vgl. Urk. 6/3).</w:t>
      </w:r>
    </w:p>
    <w:p>
      <w:r>
        <w:t>Nach Kenntnisnahme diverser medizinischer Unterlagen (vgl. Urk. 6/8, 6/13, 6/16, 6/19, 6/43, 6/47 und 6/55) veranlasste die Suva bei Dr. med. Z.___ , Facharzt für Chirurgie, eine kreisärztliche Untersuchung (Bericht vom 5. Juli 2017, Urk. 6/76). Gleichzeitig nahm Dr. Z.___ eine Beurteilung des Integritäts schadens vor ( Urk. 6/77).</w:t>
      </w:r>
    </w:p>
    <w:p>
      <w:r>
        <w:t>Anlässlich einer persönlichen Besprechung vom 6. Juli 2017 wurde dem Versicherten mitgeteilt, dass ein stabiler Gesundheitszustand vorliege und nun die Rentenfrage geprüft werde ( Urk. 6/75). Mit Verfügung vom 2 8. März 2018 sprach die Suva dem Versicherten eine Integritätsentschädigung von 5 % ( Fr. 7'410.--) zu, verneinte demgegenüber jedoch den Anspruch auf eine Invalidenrente (Urk. 6/131). Die dagegen vom Versicherten erhobene Einsprache ( Urk. 6/135, 6/141) wies die Suva mit Entscheid vom 2 6. Oktober 2018 ab ( Urk. 6/146 = Urk. 2).</w:t>
      </w:r>
    </w:p>
    <w:p>
      <w:r>
        <w:rPr>
          <w:b/>
        </w:rPr>
        <w:t>E. 2</w:t>
      </w:r>
    </w:p>
    <w:p>
      <w:r>
        <w:t>Dagegen erhob X.___ am 2 6. November 2018 Beschwerde mit dem Rechts begehren, der angefochtene Einspracheentscheid sei aufzuheben und die Be schwerdegegnerin sei zu verpflichten, ihm eine angemessene Invalidenrente so wie eine Integritätsentschädigung gestützt auf eine Integritätseinbusse von mehr als 5 % auszurichten. Im Weiteren sei ihm in der Person von Rechtsanwalt Jürg Leimbacher ein unentgeltlicher Rechtsvertreter zu bestellen ( Urk. 1 S. 2). Mit Be schwerdeantwort vom 9. Januar 2019 schloss die Beschwerdegegnerin auf Ab weisung der Beschwerde ( Urk. 5). Mit Eingabe vom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