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UV.2018.00278 vom 20. März 2020</w:t>
      </w:r>
    </w:p>
    <w:p>
      <w:r>
        <w:t>ZH Sozialversicherungsgericht, 2020-03-20, DE</w:t>
      </w:r>
    </w:p>
    <w:p>
      <w:r>
        <w:rPr>
          <w:b/>
        </w:rPr>
        <w:t xml:space="preserve">Quelle: </w:t>
      </w:r>
      <w:r>
        <w:t>https://mcp.opencaselaw.ch/entscheid/zh_sozialversicherungsgericht_UV.2018.00278</w:t>
      </w:r>
    </w:p>
    <w:p>
      <w:r>
        <w:t>FR: ZH_SOZIALVERSICHERUNGSGERICHT UV.2018.00278 du 20 mars 2020</w:t>
      </w:r>
    </w:p>
    <w:p>
      <w:r>
        <w:t>IT: ZH_SOZIALVERSICHERUNGSGERICHT UV.2018.00278 del 20 marzo 2020</w:t>
      </w:r>
    </w:p>
    <w:p>
      <w:pPr>
        <w:pStyle w:val="Heading2"/>
      </w:pPr>
      <w:r>
        <w:t>Erwägungen</w:t>
      </w:r>
    </w:p>
    <w:p>
      <w:r>
        <w:rPr>
          <w:b/>
        </w:rPr>
        <w:t>E. 1</w:t>
      </w:r>
    </w:p>
    <w:p>
      <w:r>
        <w:t>X.___ , geboren 1994, war seit dem 1. Mai 2016 bei der Y.___ AG als Bau arbeiter in einem 100%-Pensum angestellt. In dieser Eigenschaft war er bei der Schweizerischen Unfall ver siche rungsanstalt, Suva, gegen die Folgen von Un fäl len versichert. Am 8. September 2016 klemmte er sich beim Mon tieren des Imloch hammers seinen rechten Daumen (dominant) zwischen der Bohr krone und dem Im loch hammer ein (vgl. Schaden meldung vo m 9. September 2016; Urk. 11/1)</w:t>
      </w:r>
    </w:p>
    <w:p>
      <w:r>
        <w:t>und zog sich eine Trümmerfraktur Grundphalanx Dig I zu (vgl. Urk. 11/19), welche am 1 0. September 2016 im S pital Z.___ operativ versorgt wurde (Spaltung der Fascie des Thenars von palmar , ORIF Grundphalanx mit VA Compact Hand 1.5</w:t>
      </w:r>
    </w:p>
    <w:p>
      <w:r>
        <w:t>mm Gitterplatte; vgl. Urk. 11/8) . Die Suva erbrachte in der Folge die gesetz lichen Heilbehandlungs- und Taggeldleistungen ( Urk. 11/3). Per 3 0. Juni 2018 löste die Y.___ AG das Arbeitsverhältnis mit dem Versicherten auf (vgl. Urk. 11/255). Gleichzeitig stellte die Suva ihre Taggeldleistungen form los ein (vgl. Schlussabrechnung der Taggeldleistungen, Urk. 11/270).</w:t>
      </w:r>
    </w:p>
    <w:p>
      <w:r>
        <w:t>Gestützt auf die kreisärztliche Untersuchung am</w:t>
      </w:r>
    </w:p>
    <w:p>
      <w:r>
        <w:rPr>
          <w:b/>
        </w:rPr>
        <w:t>E. 2</w:t>
      </w:r>
    </w:p>
    <w:p>
      <w:r>
        <w:t>Hiergegen erhob d er Versicherte mit Eingabe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