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UV.2017.00268 vom 7. März 2019</w:t>
      </w:r>
    </w:p>
    <w:p>
      <w:r>
        <w:t>ZH Sozialversicherungsgericht, 2019-03-07, DE</w:t>
      </w:r>
    </w:p>
    <w:p>
      <w:r>
        <w:rPr>
          <w:b/>
        </w:rPr>
        <w:t xml:space="preserve">Quelle: </w:t>
      </w:r>
      <w:r>
        <w:t>https://mcp.opencaselaw.ch/entscheid/zh_sozialversicherungsgericht_UV.2017.00268</w:t>
      </w:r>
    </w:p>
    <w:p>
      <w:r>
        <w:t>FR: ZH_SOZIALVERSICHERUNGSGERICHT UV.2017.00268 du 7 mars 2019</w:t>
      </w:r>
    </w:p>
    <w:p>
      <w:r>
        <w:t>IT: ZH_SOZIALVERSICHERUNGSGERICHT UV.2017.00268 del 7 marzo 2019</w:t>
      </w:r>
    </w:p>
    <w:p>
      <w:pPr>
        <w:pStyle w:val="Heading2"/>
      </w:pPr>
      <w:r>
        <w:t>Erwägungen</w:t>
      </w:r>
    </w:p>
    <w:p>
      <w:r>
        <w:rPr>
          <w:b/>
        </w:rPr>
        <w:t>E. 1</w:t>
      </w:r>
    </w:p>
    <w:p>
      <w:r>
        <w:t>Der 1959 geborene X.___</w:t>
      </w:r>
    </w:p>
    <w:p>
      <w:r>
        <w:t>war seit dem 1. April 2010 als Geschäftsinhaber der Y.___ GmbH, tätig und dadurch bei der Suva gegen die Folgen von Berufs- und Nichtberufsunfällen versichert. Am 2 0. August 2013 rutschte er gemäss Unfallmeldung vom 2 6. August 2013 im Badezimmer aus, wobei er sich - um ein Hinfallen zu vermeiden - mit der rechten Hand am Lavabo festzuhalten versuchte. Dabei zog er sich am rechten Zeigefinger eine Distorsion des distalen interphalangaealen Gelenks (DIP-Gelenk) zu ( Urk. 6/1, 6/ 8). Dr. med. Z.___ , Facharzt für Allgemeine Innere Medizin, verordnete eine Schiene sowie Schmerzmedikamente und attestierte ab dem Unfalltag eine 100%ige Arbeitsunfähigkeit ( Urk. 6/6/4, 6/7/5 , 6/8 und 6/10). Die Suva kam für die Heilungskosten auf und erbrachte Taggeldleistungen (vgl. Urk. 6/</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Vorfall hat sich am</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 n wäre (sog. Valideneinkommen).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S. 4 und 11 f.).</w:t>
      </w:r>
    </w:p>
    <w:p>
      <w:r>
        <w:rPr>
          <w:b/>
        </w:rPr>
        <w:t>E. 2.1</w:t>
      </w:r>
    </w:p>
    <w:p>
      <w:r>
        <w:t>Im angefochtenen Einspracheentscheid vom 2 5. Oktober 2017 zog die Beschwer degegnerin im Wesentlichen in Erwägung, ihre Verfügung vom 26. April 2017 sei in Bezug auf die Integritätsentschädigung in Rechtskraft erwachsen. Strittig sei der Anspruch auf eine Invalidenrente. Gestützt auf die medizinischen Beur teilungen der Dres. A.___ und B.___ vom 2 7. Mai 2016 beziehungsweise 2 1. März 2017 stehe fest, dass der Versicherte in seiner angestammten beruflichen Tätigkeit als Geschäftsinhaber eines Reinigungsunternehmens zu 100 % arbeits fähig sei. Die von ihm geklagten Beschwerden am rechten Zeigefinger seien in keiner Weise objektivierbar und könnten somit bei der Festlegung der unfallbe dingten Arbeitsfähigkeit nicht berücksichtigt werden. Die Voraussetzungen für die Zusprechung einer Rente sei en folglich nicht erfüllt. Der Vollständigkeit hal ber sei in Bezug auf den Einkommensvergleich festzuhalten, dass der Versicherte nach dem Unfall im Jahr 2015 ein Einkommen erzielt habe, welche s das mut massliche Valideneinkommen massiv überstiegen habe . Im Übrigen bestehe ent gegen der Auffassung des Versicherten kein Raum für die Anwendung der aus serordentlichen Bemessungsmethode, da die Vergleichseinkommen bestimmbar seien (zum Ganzen Urk.</w:t>
      </w:r>
    </w:p>
    <w:p>
      <w:r>
        <w:rPr>
          <w:b/>
        </w:rPr>
        <w:t>E. 2.2</w:t>
      </w:r>
    </w:p>
    <w:p>
      <w:r>
        <w:t>In seiner Beschwerdeschrift vom 2 4. November 2017 machte der Versicherte im Wesentlichen geltend, die Beschwerdegegnerin habe den Untersuchungsgrund satz ( Art. 43 Abs. 1 ATSG) verletzt. Von zusätzlichen Abklärungen seien auch aus Sicht des Gutachters Dr. A.___ neue wesentliche Erkenntnisse zu erwarten ( Urk. 1 S. 4 f.). Überdies habe die Beschwerdegegnerin den Einkommensvergleich nicht korrekt durchgeführt. Sowohl die Bestimmung des Validen- als auch des Invalideneinkommens sei im konkreten Fall sc hlicht unmöglich. Folglich sei das ausserordentliche Bemessungsverfahren anzuwenden ( Urk. 1 S. 6 f.).</w:t>
      </w:r>
    </w:p>
    <w:p>
      <w:r>
        <w:rPr>
          <w:b/>
        </w:rPr>
        <w:t>E. 2.3</w:t>
      </w:r>
    </w:p>
    <w:p>
      <w:r>
        <w:t>Die Beschwerdegegnerin hielt mit Beschwerdeantwort vom 1 0. Januar 2018 an ihrem Standpunkt fest, das s kein Anlass bestehe, die schlüssigen und wider spruchsfreien medizinischen Beurteilungen der Dres. A.___ und B.___ in Frage zu stellen. Es sei mit dem Beweisgrad der überwiegenden Wahrscheinlich keit erstellt, dass den vom Versicherten geklagten Beschwerden kein organisches Substrat zugeordnet werden könne. Ergänzend sei darauf hinzuweisen, dass zwischen den organisch nicht hinreichend nachweisbaren Beschwerden und dem Unfallereignis - welches als leicht zu qualifizieren sei - kein adäquater Kausal zusammenhang bestehe. Weitere Abklärungen würden sich folglich auch deshalb erübrigen, weil bei Verneinung der Adäquanz die Frage der natürlichen Unfall kausalität offenbleiben könne. Mangels unfallbedingter Arbeitsunfähigkeit bestehe kein Anspruch auf eine Invalidenrente (zum Ganzen Urk.</w:t>
      </w:r>
    </w:p>
    <w:p>
      <w:r>
        <w:rPr>
          <w:b/>
        </w:rPr>
        <w:t>E. 5</w:t>
      </w:r>
    </w:p>
    <w:p>
      <w:r>
        <w:t>.</w:t>
      </w:r>
    </w:p>
    <w:p>
      <w:r>
        <w:rPr>
          <w:b/>
        </w:rPr>
        <w:t>E. 5.1</w:t>
      </w:r>
    </w:p>
    <w:p>
      <w:r>
        <w:t>Ergänzend ist darauf hinzuweisen, dass nicht nur von Dr. A.___ die Behandel barkeit der Beschwerden am DIP-Gelenk mittels Arthrodese postuliert wurde ( Urk. 6/101/14). Auch</w:t>
      </w:r>
    </w:p>
    <w:p>
      <w:r>
        <w:t>Dr. D.___</w:t>
      </w:r>
    </w:p>
    <w:p>
      <w:r>
        <w:t>und die Ärzte des E.___</w:t>
      </w:r>
    </w:p>
    <w:p>
      <w:r>
        <w:t>favorisierte n diese Behandlungsoption und ging en von einer guten Belastbarkeit des Fingers und von Schmerzfreiheit aus, falls die Operation durchgeführt würde (Urk. 6/30/2 , 6/47/2 ).</w:t>
      </w:r>
    </w:p>
    <w:p>
      <w:r>
        <w:t>Der Beschwerdeführer erachtete den Eingriff allerdings unter Hinweis auf seine Herzerkrankung und das Infekt ions risiko für unzumutbar und lehnte diese n daher ab ( Urk. 6/130, 6/143).</w:t>
      </w:r>
    </w:p>
    <w:p>
      <w:r>
        <w:rPr>
          <w:b/>
        </w:rPr>
        <w:t>E. 5.2</w:t>
      </w:r>
    </w:p>
    <w:p>
      <w:r>
        <w:t>Bei der Beantwortung der Frage nach der Zumutbarkeit einer Behandlungs- oder Eingliederungsmassnahme im Sinne von Art. 21 Abs. 4 ATSG sind die gesamten persönlichen Verhältnisse - insbesondere die berufliche und soziale Stellung des Versicherten - zu berücksichtigen, wobei das objektiv Zumutbare und nicht die subjektive Wertung des Versicherten massgebend ist. Die gesetzliche Vorgabe, wonach Massnahmen, die eine Gefahr für Leben und Gesundheit darstellen, nicht zumutbar sind, bedeutet nicht, dass eine Massnahme, die keine solche Gefahr darstellt, automatisch zumutbar wäre. Sie weist aber doch darauf hin, dass nur Gründe von einer gewissen Schwere zur Unzumutbarkeit führen. Die Unzumut barkeit ist sodann in Relation einerseits zur Trageweite der Massnahme, anderer seits zur Bedeutung der in Frage stehenden Leistung zu beurteilen. Namentlich bei medizinischen Massnahmen, die einen starken Eingriff in die persönliche Integrität der versicherten Person darstellen können, ist an die Zumutbarkeit kein strenger Massstab anzulegen. Umgekehrt ist die Zumutbarkeit eher zu bejahen, wenn die fragliche Massnahme unbedenklich ist. Sodann sind die Anforderungen an die Schadenminderungspflicht dort strenger, wo eine erhöhte Inanspruch nahme der Unfallversicherung in Frage steht, so namentlich wenn der Verzicht auf schadenmindernde Vorkehren Rentenleistungen auszulösen vermag (zum Ganzen Urteil des Bundesgerichts 8C_128/2015 vom 25. Juni 2015 E. 1.2 mit zahlreichen Hinweisen).</w:t>
      </w:r>
    </w:p>
    <w:p>
      <w:r>
        <w:rPr>
          <w:b/>
        </w:rPr>
        <w:t>E. 5.3</w:t>
      </w:r>
    </w:p>
    <w:p>
      <w:r>
        <w:t>Der Beschwerdeführer wies mit Schreiben vom 7. März 2017 ( Urk. 6/143) darauf hin, dass auch der Kreisarzt Dr. F.___ in seiner Beurteilung vom 2 5. November 2014 die Durchführung einer Endgelenksarthrodese als unzumutbar eingestuft habe. Dr. F.___ führte in der Tat aus, dass die ablehnende Haltung des Ver sicherten gegenüber dem operativen Eingriff nicht als Verletzung der Mitwir kungspflicht gewertet werden könne. Zur Begründung führte er an, dass es nach vollziehbar sei, dass der Beschwerdeführer grosse Angst vor einer erneuten Infektion und einer weiteren Endokarditis habe ( Urk. 6/52/5). Wie zuvor darge legt, kann allein diese subjektive Wertung des Versicherten allerdings nicht massgebend sein. Entscheidend ist vielmehr, ob der Eingriff aus objektiver Sicht zumutbar ist. In diesem Zusammenhang führte Dr. A.___ aus, dass das Risiko, bei dem zur Diskussion stehenden lokalen Eingriff ein e für das Herz gefährden de</w:t>
      </w:r>
    </w:p>
    <w:p>
      <w:r>
        <w:t>Sepsis zu erleiden, äusserst minimal sei. Die stabilisierende Arthrodese könne in Lokalanästhesie und mit lokaler Blutsperre durchgeführt werden, wobei das allgemeine Anästhesierisiko absolut minimal sei. Im Weiteren sei die Infektions rate bei handchirurgischen Eingriffen eine der Kleinsten überhaupt im Fach be reich der Orthopädie . Falls es trotzdem zu einer Infektion komme, sei diese in der Regel lokal begrenzt und entsprechend behandelbar (Urk. 6/101/14 f.).</w:t>
      </w:r>
    </w:p>
    <w:p>
      <w:r>
        <w:t>Diese Erläuterungen des Gutachters erweisen sich in jeder Hinsicht als schlüssig und sprechen klar für eine Zumutbarkeit des Eingriffs trotz Vorliegens eines Herz leidens. Davon ist umso mehr in Anbetracht des Umstands auszugehen, dass die Inanspruchnahme von Rentenleistungen in Frage steht und die Anforderungen an die Schadenminderungspflicht folglich strenger sind . Die Operation würde nur einen vergleichsweise leichten Eingriff in die körperliche Integrität des Versicher ten bedeuten. Die Erfolgsaussichten im Hinblick auf eine Stabilisierung des DIP-Gelenks und eine zukünftige Schmerzfreiheit stünden überdies gut (vgl. Urk. 6/30/2, 6/101/14). Gesamthaft ist folglich mit überwiegender Wahrschein lichkeit davon auszugehen, dass mit der vorgeschlagenen Arthrodese eine Verbesserung der Funktionalität des geschädigten Zeigefingers erwartet werden kann, ohne dass dieser Eingriff mit ernsthaften Risiken verbunden wäre. Dessen Zumutbarkeit ist daher zu bejahen (vgl. Urteil des Bundesgerichts 8C_128/2015 vom 2 5. Juni 2015 E. 2.3 betreffend die Zumutbarkeit einer Daumengelenksarth rodese).</w:t>
      </w:r>
    </w:p>
    <w:p>
      <w:r>
        <w:rPr>
          <w:b/>
        </w:rPr>
        <w:t>E. 5.4</w:t>
      </w:r>
    </w:p>
    <w:p>
      <w:r>
        <w:t>Mit Schreiben vom 8. Februar 2017 ( Urk. 6/122) machte die Beschwerdegegnerin den Versicherten darauf aufmerksam, dass sie die Durchführung einer Arthrodese des DIP-Gelenks für zumutbar erachte und eröffnete ihm eine Frist bis 9. März 2017, um seine ablehnende Haltung zu überdenken. Falls er dem Eingriff auch weiterhin nicht zustimme , würden die weiteren Versicherungsleistungen in Anwendung von Art. 61 UVV so beurteilt, wie wenn die Massnahme erfolgreich durchgeführt worden wäre .</w:t>
      </w:r>
    </w:p>
    <w:p>
      <w:r>
        <w:t>Die Beschwerdegegnerin hat somit das in Art. 21 Abs. 4 ATSG vorgesehene Mahn- und Bedenkzeitverfahren korrekt durchgeführt. Der Beschwerdeführer weigerte sich ohne zureichenden Grund, sich der zumutbaren Operation zu unterziehen. Entsprechend der Androhung der Beschwerdegegnerin ist in Nach achtung von Art. 61 UVV der streitige Anspruch auf eine Rente zu beurteilen, wie wenn die Massnahme durchgeführt und der seiten s der Fachärzte prognos tizierte Erfolg - gute Belastbarkeit des Zeigefingers und Schmerzfreiheit (vgl. E.</w:t>
      </w:r>
    </w:p>
    <w:p>
      <w:r>
        <w:t>5.1) - eingetreten wäre.</w:t>
      </w:r>
    </w:p>
    <w:p>
      <w:r>
        <w:t>Folglich ist auch in Anbetracht dieser Umstände mit über wiegender Wahrscheinlichkeit von keiner rentenrelevanten Einschränkung der Arbeitsfähigkeit im angestammten Tätigkeitsbereich auszugehen.</w:t>
      </w:r>
    </w:p>
    <w:p>
      <w:r>
        <w:t>Die Vor nahme eines Einkommensvergleichs zur Bestimmung des Invaliditätsgrades erübrigt sich in Anbetracht dieser konkreten Umstände</w:t>
      </w:r>
    </w:p>
    <w:p>
      <w:r>
        <w:t>entgegen der Auffassung des Beschwerdeführers (vgl. Urk. 1 S. 6 f.) .</w:t>
      </w:r>
    </w:p>
    <w:p>
      <w:r>
        <w:rPr>
          <w:b/>
        </w:rPr>
        <w:t>E. 6</w:t>
      </w:r>
    </w:p>
    <w:p>
      <w:r>
        <w:t>.</w:t>
      </w:r>
    </w:p>
    <w:p>
      <w:r>
        <w:t>Zusammengefasst hat die Beschwerdegegnerin den Rentenanspruch im angefoch tenen Einspracheentscheid vom 2 5. Oktober 2017 ( Urk. 2) zu Recht verneint , wes halb d ie dagegen erhobene Beschwerde abzuweisen ist . Das Verfahren ist kosten los ( Art. 1 Abs. 1 UVG in Verbindung mit Art. 61 lit. a ATSG). Das Gericht erkennt: 1.</w:t>
      </w:r>
    </w:p>
    <w:p>
      <w:r>
        <w:t>Die Beschwerde</w:t>
      </w:r>
    </w:p>
    <w:p>
      <w:r>
        <w:t>wird abgewiesen. 2.</w:t>
      </w:r>
    </w:p>
    <w:p>
      <w:r>
        <w:t>Das Verfahren ist kostenlos. 3.</w:t>
      </w:r>
    </w:p>
    <w:p>
      <w:r>
        <w:t>Zustellung gegen Empfangsschein an: - Rechtsanwalt Christos Antoniadis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 GEW/MAW/JRLversandt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