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UV.2017.00144 vom 28. Dezember 2018</w:t>
      </w:r>
    </w:p>
    <w:p>
      <w:r>
        <w:t>ZH Sozialversicherungsgericht, 2018-12-28, DE</w:t>
      </w:r>
    </w:p>
    <w:p>
      <w:r>
        <w:rPr>
          <w:b/>
        </w:rPr>
        <w:t xml:space="preserve">Quelle: </w:t>
      </w:r>
      <w:r>
        <w:t>https://mcp.opencaselaw.ch/entscheid/zh_sozialversicherungsgericht_UV.2017.00144</w:t>
      </w:r>
    </w:p>
    <w:p>
      <w:r>
        <w:t>FR: ZH_SOZIALVERSICHERUNGSGERICHT UV.2017.00144 du 28 décembre 2018</w:t>
      </w:r>
    </w:p>
    <w:p>
      <w:r>
        <w:t>IT: ZH_SOZIALVERSICHERUNGSGERICHT UV.2017.00144 del 28 dicembre 2018</w:t>
      </w:r>
    </w:p>
    <w:p>
      <w:pPr>
        <w:pStyle w:val="Heading2"/>
      </w:pPr>
      <w:r>
        <w:t>Erwägungen</w:t>
      </w:r>
    </w:p>
    <w:p>
      <w:r>
        <w:rPr>
          <w:b/>
        </w:rPr>
        <w:t>E. 1.1</w:t>
      </w:r>
    </w:p>
    <w:p>
      <w:r>
        <w:t>Am 1. Januar 2017 sind die am 25. September 2015 beziehungsweise am 9. Novem ber 2016 verabschiedeten geänderten Bestimmungen des UVG und der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22. August 2013 (Urk. 9/1) ereignet, weshalb die bis 31. Dezember 2016 gültig gewesenen Normen auf den vorliegen den Fall Anwendung finden und in dieser Fassung zitiert werden.</w:t>
      </w:r>
    </w:p>
    <w:p>
      <w:r>
        <w:t>Die hier zu beurteilende Berufskrankheit ist sodann vor dem 1. Januar 2017 aus gebrochen (Urk. 10/2) , weshalb auch diesbezüglich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Bundesgesetzes über den Allgemeinen Teil des Sozialversiche 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2.</w:t>
      </w:r>
    </w:p>
    <w:p>
      <w:r>
        <w:rPr>
          <w:b/>
        </w:rPr>
        <w:t>E. 2</w:t>
      </w:r>
    </w:p>
    <w:p>
      <w:r>
        <w:t>Dagegen erhob der Versicherte mit Eingabe vom 12. Juni 2017 Beschwerde (Urk. 1) und stellte folgende Anträge: «1. Die Beschwerde sei gutzuheissen und der Einspracheentscheid</w:t>
      </w:r>
    </w:p>
    <w:p>
      <w:r>
        <w:t>ersatzlos aufzuheben . 2. Es sei dem Versicherten eine Rente in der Höhe von 29 % zuzusprechen.</w:t>
      </w:r>
    </w:p>
    <w:p>
      <w:r>
        <w:rPr>
          <w:b/>
        </w:rPr>
        <w:t>E. 2.1</w:t>
      </w:r>
    </w:p>
    <w:p>
      <w:r>
        <w:t>In ihrem Einspracheentscheid vom 9. Mai 2017 (Urk. 2) führte die Beschwer de gegnerin im Wesentlichen aus, die Verfügung vom 8. Juli 2016 erfülle die sehr niedrigen Anforderungen an die Begründungspflicht. Eine Verletzung des recht lichen Gehörs liege damit nicht vor. Sodann ergänzte sie, vorliegend sei lediglich der Rentenanspruch bestritten. Diesbezüglich rechtfertige sich, gestützt auf die seitens Dr. A.___s sowie der Dermatologischen Klinik des Universitätsspitals B.___ erstellten Zumutbarkeitsprofile die Gewährung eines leidensbedingten Abzuges von 10 %. Vergleiche man das Validen- mit dem Invalideneinkommen, resultiere der mit Verfügung vom 8. Juli 2016 zugesprochene Anspruch auf eine Rente von 15 % (S. 3 ff.).</w:t>
      </w:r>
    </w:p>
    <w:p>
      <w:r>
        <w:rPr>
          <w:b/>
        </w:rPr>
        <w:t>E. 2.2</w:t>
      </w:r>
    </w:p>
    <w:p>
      <w:r>
        <w:t>Der Beschwerdeführer rügte mit Beschwerdeschrift vom 12. Juni 2017 (Urk. 1) die Verletzung des rechtlichen Gehörs im Sinne der Begründungspflicht. Sodann führte er aus, es sei ihm unter Berücksichtigung sämtlicher relevanter Merkmale ein leidensbedingter Abzug von 25 % zu gewähren (S. 3 f.).</w:t>
      </w:r>
    </w:p>
    <w:p>
      <w:r>
        <w:rPr>
          <w:b/>
        </w:rPr>
        <w:t>E. 3</w:t>
      </w:r>
    </w:p>
    <w:p>
      <w:r>
        <w:t>Zur Rüge der Verletzung des rechtlichen Gehörs (Urk. 1 S. 3 Ziff. 9) ist zu bemerken, dass sich die Beschwerdegegnerin mit dem strittigen Thema des Abzuges vom Tabellenlohn in der Tat nur knapp auseinandersetzte. Immerhin legte sie aber die massgeblichen Kriterien dar (Urk. 2 S. 5 Ziff. 3 lit . f). Eine Würdigung jedes einzelnen Kriteriums ist nicht zwingend notwendig. Der Be schwerdeführer konnte den Einspracheentscheid in Kenntnis der Überlegungen der Beschwerdegegnerin anfechten, zumal es sich beim strittigen Thema um einen Ermessensentscheid handelt. Weiter beantragte der Beschwerdeführer keine Rück weisung an die Vorinstanz und verfügt das angerufene Gericht, vor welchem sich der Beschwerdeführer umfassend äussern konnte, über volle Kognition. Damit besteht zusammenfassend keine Verletzung des rechtlichen Gehörs respektive hätte eine solche als geheilt zu gelten.</w:t>
      </w:r>
    </w:p>
    <w:p>
      <w:r>
        <w:rPr>
          <w:b/>
        </w:rPr>
        <w:t>E. 4</w:t>
      </w:r>
    </w:p>
    <w:p>
      <w:r>
        <w:t>.</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4.1</w:t>
      </w:r>
    </w:p>
    <w:p>
      <w:r>
        <w:t>Gegenstand des vorliegenden Verfahrens bildet der Anspruch des Beschwerde führers auf eine Invalidenrente.</w:t>
      </w:r>
    </w:p>
    <w:p>
      <w:r>
        <w:rPr>
          <w:b/>
        </w:rPr>
        <w:t>E. 4.2.1</w:t>
      </w:r>
    </w:p>
    <w:p>
      <w:r>
        <w:t>Zu Recht unbestritten geblieben sind die medizinischen Grundlagen zur Beurtei lung des Rentenanspruchs. Hinsichtlich der Problematik des Beschwerdeführers am linken Fuss ist dabei gestützt auf die Beurteilung von Kreisarzt Dr. A.___ vom 20. November 2014 (Urk. 9/165) davon auszugehen, dass dem Beschwerde führer wechselbelastende, bis mittelschwere Tätigkeiten vollzeitig zumutbar sind, wobei keine Tätigkeiten auf unebenem oder abschüssigem Boden auszuführen sind, Tätigkeiten auf Leitern nur ausnahmsweise und auf Treppen nur selten zumutbar sind (S. 6). Aus dermatologischer Sicht sind gemäss Beurteilung der Derma tologischen Klinik des Universitätsspitals B.___ vom 17. April 2015 (Urk. 10/68, Urk. 9/158 und Urk. 9/162) Feuchtmilieus und kontaktallergische Substanzen zu meiden und zum Schutz Handschuhe zu tragen. Die Arbeitsunfähigkeit aus dermatologischer Sicht beträgt 0 % (S. 3).</w:t>
      </w:r>
    </w:p>
    <w:p>
      <w:r>
        <w:rPr>
          <w:b/>
        </w:rPr>
        <w:t>E. 4.2.2</w:t>
      </w:r>
    </w:p>
    <w:p>
      <w:r>
        <w:t>Ebenfalls nicht weiter bestritten wird das Valideneinkommen . Auch diesbezüglich ist der Beschwerdegegnerin mit Blick auf die Aktenlage zu folgen und von einem Valideneinkommen von Fr. 70’257.-- auszugehen (Urk. 2 S. 6 und Urk. 9/178).</w:t>
      </w:r>
    </w:p>
    <w:p>
      <w:r>
        <w:rPr>
          <w:b/>
        </w:rPr>
        <w:t>E. 4.3</w:t>
      </w:r>
    </w:p>
    <w:p>
      <w:r>
        <w:t>Zu überprüfen ist dagegen der seitens der Beschwerdegegnerin im Zusammen hang mit der Ermittlung des Invalideneinkommens (auf Basis der Lohnstruk tur erhebung 2014) gewährte leidensbedingte Abzug in der Höhe von 10 % (Urk. 2 S. 6). Vorwegzuschicken ist, dass das Sozial v ersicherungsgericht sein Ermessen nicht ohne triftigen Grund an die Stelle desjenigen der V erwaltung setzen darf und diesfalls Gegebenheiten darlegen muss, welche seine abweichende Ermessen s ausübung als naheliegender erscheinen lassen ( BGE 126 V 75 E. 6 mit Hinweisen). Ein Abweichen ist grundsätzlich nur bei Unangemessenheit möglich ( BGE</w:t>
      </w:r>
    </w:p>
    <w:p>
      <w:r>
        <w:t>137</w:t>
      </w:r>
    </w:p>
    <w:p>
      <w:r>
        <w:t>V 71 E. 5.1).</w:t>
      </w:r>
    </w:p>
    <w:p>
      <w:r>
        <w:rPr>
          <w:b/>
        </w:rPr>
        <w:t>E. 4.3.1</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 en auf die Lohnhöhe haben können (BGE 124 V 321 E. 3b/ aa ). Aufgrund dieser Faktoren kann die versicherte Person die verbliebene Arbeitsfähigkeit auch auf einem ausgeglichenen Arbeitsmarkt möglicherweise nur mit unterdurch schnitt lichem erwerblichem Erfolg verwerten (BGE 126 V 75 E. 5b/ aa ). Der Abzug soll aber nicht automatisch erfolgen. Er ist unter Würdigung der Umstände im Ein 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 ter Hilfsarbeitertätigkeit in ihrer Leistungsfähigkeit eingeschränkt ist (BGE 126 V 75 E. 5a/ bb ). Zu beachten ist jedoch, dass allfällige bereits in der Beur teilung der medizinischen Arbeitsfähigkeit enthaltene gesundheitliche Einschrän kungen nicht zusätzlich in die Bemessung des leidensbedingten Abzugs einflies sen und so zu einer doppelten Anrechnung desselben Gesichtspunkts führen dürfen (Urteil 9C_846/2014 vom 22. Januar 2015 E. 4.1.1 mit Hinweisen; vgl. Urteil des Bundesgerichts 8C_805/2016 vom 22. März 2017 E. 3.1).</w:t>
      </w:r>
    </w:p>
    <w:p>
      <w:r>
        <w:rPr>
          <w:b/>
        </w:rPr>
        <w:t>E. 4.3.2</w:t>
      </w:r>
    </w:p>
    <w:p>
      <w:r>
        <w:t>Hinsichtlich des Merkmals der Dienstjahre ist festzuhalten, dass dessen Bedeutung im privaten Sektor abnimmt, je niedriger das Anforderungsprofil ist. Mit Blick auf das Kompetenzniveau 1 (bis Lohnstrukturerhebungen [LSE] 2010 Anforde rungsniveau 4) kommt diesem Aspekt keine ins Gewicht fallende Bedeutung zu (vgl. Urteile des Bundesgerichts 9C_808/2015 vom 29. Februar 2016 E. 3.4.2 und 8C_805/2016 vom 22. März 2017 E. 3.3 unter Hinweis auf 8C_351/2014 vom 14. August 2014 E. 5.2.4.2).</w:t>
      </w:r>
    </w:p>
    <w:p>
      <w:r>
        <w:t>Mit Blick auf das Merkmal des Beschäftigungsgrades rechtfertigt sich weiter kein leidensbedingter Abzug, da vollzeitlich erwerbstätige Männer ohne Kaderfunk tion im Jahre 2014 (aktuellste Angaben) durchschnittlich verdienten (Bundesamt für Statistik [BFS], Monatlicher Bruttolohn nach Beschäftigungsgrad, beruflicher Stellung und Geschlecht, Privater und öffentlicher Sektor zusammen, 2014).</w:t>
      </w:r>
    </w:p>
    <w:p>
      <w:r>
        <w:t>Der Beschwerdeführer verfügte sodann über eine Kurzaufenthaltsbewilligung ( Urk. 9 /55 S. 6). Damit hätte er im Jahre 2014 ( bei Erlass des Einsprachentscheids die aktuellste n Angaben) (ohne Kaderfunktion) unterdurchschnittlich verdient (BFS, Monatlicher Bruttolohn, Schweizer/innen und Ausländer/innen, nach beruf licher Stellung und Geschlecht, Privater Sektor, 2014).</w:t>
      </w:r>
    </w:p>
    <w:p>
      <w:r>
        <w:t>I m Zeitpunkt des Beginns des Rentenanspruchs per März 2015 ( Urk. 2 ) war der Beschwerdeführer 44 Jahre alt . Männer im Alter zwischen 40 und 49 Jahren ohne Kaderfunktion verdienten im Jahre 2014 überdurchschnittlich (BFS, Monatlicher Bruttolohn nach Lebensalter, beruflicher Stellung und Geschlecht, Privater Sektor, 2014).</w:t>
      </w:r>
    </w:p>
    <w:p>
      <w:r>
        <w:t>Im Zusammenhang mit den leidensbedingten Einschränkungen ist schliesslich darauf hinzuweisen, dass das medizinische Anforderungs- und Belastungsprofil eine zum zeitlich zumutbaren Arbeitspensum tretende qualitative oder quantit a tive Einschränkung der Arbeitsfähigkeit darstellt, wodurch in erster Linie das Spek trum der erwerblichen Tätigkeiten (weiter) eingegrenzt wird, welche unter Berücksichtigung der Fähigkeiten, Ausbildung und Berufserfahrung der versi 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 stehen (Urteil des Bundesgerichts 9C_796/2013 vom 28. Januar 2014 E. 3.1.1 mit Hinweisen). Ist von einem genügend breiten Spektrum an zumutbaren Verweis ungstätigkeiten auszugehen, können unter dem Titel leidensbedingter Abzug grund sätzlich nur Umstände berücksichtigt werden, die au ch auf einem ausge glichenen Arbeitsmarkt (Art. 16 ATSG) als ausserordentlich zu bezeichnen sind ( Urteil des Bundesgerichts 9C_366/2015 vom 22. September 2015 E. 4.3.1 mit Hinweisen; vgl. Urteil des Bundesgerichts 9C_826/2015 vom 13. April 2016 E. 3.2.1). Die gesundheitlich bedingte Unmöglichkeit, weiterhin körperlich schwere Arbeit zu verrichten, führt nicht automatisch zu einer V erminderung des hypo thetischen Invalidenlohns. Vielmehr ist der Umstand allein, dass nur mehr leichte bis mittelschwere Arbeiten zumutbar sind, auch bei eingeschränkter Leistungs fähigkeit kein Grund für einen zusätzlichen leidensbedingten Abzug, weil der Tabellenlohn im Kompetenzniveau 1 (bis LSE 2010 Anforderungsniveau 4) bereits eine Vielzahl von leichten und mittelschweren Tätigkeiten umfasst (Urteil des Bundesgerichts 8C_805/2016 vom 22. März 2017 E. 3.4.2 unter Hinweis auf 9C_455/2013 vom 4. Oktober 2013 E. 4.4 und 9C_386/2012 vom 18. September 2012 E. 5.2). Unter Berücksichtigung sämtlicher Einschränkungen des Beschwer de führers rechtfertigt sich jedoch die Gewährung eines Abzuges mit Blick auf dieses Merkmal.</w:t>
      </w:r>
    </w:p>
    <w:p>
      <w:r>
        <w:t>Der Verweis des Beschwerdeführers auf das Urteil des Bundesgerichts 8C_548/2010 vom 23. Dezember 2010 zielt dagegen ins Leere, da die versicherte Person in jener Konstellation - entgegen der vorliegenden - lediglich zu 65 % restarbeitsfähig und dazu noch auf die Möglichkeit der Wechselbelastung ange wiesen war (E. 5.2.2).</w:t>
      </w:r>
    </w:p>
    <w:p>
      <w:r>
        <w:t>Schliesslich ist festzuhalten, dass einfache und repetitive Tätigkeiten weder gute Sprachkenntnisse noch ein besonderes Bildungsniveau erfordern (SVR 2016 IV Nr. 21 S. 62, 9C_808/2015 E. 3.4.2). Gestützt hierauf rechtfertigt sich somit keine Gewährung eines leidensbedingten Abzuge s. Anzufügen bleibt, dass der Be schwer deführer entgegen seinem Vorbringen (Urk. 1 S. 4) kein Analphabet ist (Urk. 9/55 S. 6, Besuch von Primar- und Sekundarschule in Portugal).</w:t>
      </w:r>
    </w:p>
    <w:p>
      <w:r>
        <w:rPr>
          <w:b/>
        </w:rPr>
        <w:t>E. 4.3.3</w:t>
      </w:r>
    </w:p>
    <w:p>
      <w:r>
        <w:t>In einer Gesamtschau sämtlicher lohnerhöhender sowie -senkender Merkmale ist der seitens der Beschwerdegegnerin vorliegend gewährte leidensbedingte Abzug in der Höhe von 10 % nicht zu beanstanden und jedenfalls nicht unangemessen. Damit bleibt es beim ermittelten Invaliditätsgrad von rund 15 % (Urk. 2 S. 6), was zur Abweisung der Beschwerde führt. Das Gericht erkennt: 1.</w:t>
      </w:r>
    </w:p>
    <w:p>
      <w:r>
        <w:t>Die Beschwerde wird abgewiesen . 2.</w:t>
      </w:r>
    </w:p>
    <w:p>
      <w:r>
        <w:t>Das Verfahren ist kostenlos. 3 .</w:t>
      </w:r>
    </w:p>
    <w:p>
      <w:r>
        <w:t>Zustellung gegen Empfangsschein an : - O.___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