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UV.2017.00099 vom 17. August 2017</w:t>
      </w:r>
    </w:p>
    <w:p>
      <w:r>
        <w:t>ZH Sozialversicherungsgericht, 2017-08-17, DE</w:t>
      </w:r>
    </w:p>
    <w:p>
      <w:r>
        <w:rPr>
          <w:b/>
        </w:rPr>
        <w:t xml:space="preserve">Quelle: </w:t>
      </w:r>
      <w:r>
        <w:t>https://mcp.opencaselaw.ch/entscheid/zh_sozialversicherungsgericht_UV.2017.00099</w:t>
      </w:r>
    </w:p>
    <w:p>
      <w:r>
        <w:t>FR: ZH_SOZIALVERSICHERUNGSGERICHT UV.2017.00099 du 17 août 2017</w:t>
      </w:r>
    </w:p>
    <w:p>
      <w:r>
        <w:t>IT: ZH_SOZIALVERSICHERUNGSGERICHT UV.2017.00099 del 17 agosto 2017</w:t>
      </w:r>
    </w:p>
    <w:p>
      <w:pPr>
        <w:pStyle w:val="Heading2"/>
      </w:pPr>
      <w:r>
        <w:t>Erwägungen</w:t>
      </w:r>
    </w:p>
    <w:p>
      <w:r>
        <w:rPr>
          <w:b/>
        </w:rPr>
        <w:t>E. 1</w:t>
      </w:r>
    </w:p>
    <w:p>
      <w:r>
        <w:t>X.___, geboren 1985, arbeitete als selbständige Kosme tikerin und war bei der VAUDOISE ALLGEMEINE, Versicherungs-Gesellschaft AG, versichert, als sie sich am 17. Juli 2015 eine Ruptur des vorderen Kreuz bands zuzog (Urk. 9/1).</w:t>
      </w:r>
    </w:p>
    <w:p>
      <w:r>
        <w:t>Nach getätigten Abklärungen verneinte die Unfallversicherung ihre Leistungs pflicht aus dem genannten Ereignis mit Verfügung vom 11. Oktober 2016 (Urk. 9/9). Die von der Versicherten am 8. November 2016 erhobene Einsprache (Urk. 9/10) wies sie am 15. März 2017 ab (Urk. 9/14 = Urk. 2).</w:t>
      </w:r>
    </w:p>
    <w:p>
      <w:r>
        <w:rPr>
          <w:b/>
        </w:rPr>
        <w:t>E. 2</w:t>
      </w:r>
    </w:p>
    <w:p>
      <w:r>
        <w:t>Die Versicherte erhob am 27. April 2017 Beschwerde gegen den Einspracheent scheid vom 15. März 2017 (Urk. 2) und beantragte, es seien die Leistungspflicht der Beschwerdegegnerin für die gesetzlichen Unfallleistungen festzustellen und der angefochtene Entscheid aufzuheben (Urk. 1 S. 2).</w:t>
      </w:r>
    </w:p>
    <w:p>
      <w:r>
        <w:t>Mit Beschwerdeantwort vom 6. Juni 2017 (Urk. 8) beantragte die Beschwer-degeg nerin die Abweisung der Beschwerde. Mit Eingabe vom 23. Juni 2017 reichte die Beschwerdeführerin weitere Arztberichte ein (Urk. 10, Urk. 11/1-3). Mit Verfügung vom 27. Juni 2017 wurde der Beschwerdegegnerin Frist zur Stellungnahme dazu gesetzt und der Beschwerdeführerin die Be schwer-deantwort zur Kenntnis gebracht (Urk. 12).</w:t>
      </w:r>
    </w:p>
    <w:p>
      <w:r>
        <w:t>Am 26. Juli 2017 reichte die Beschwerdegegnerin ihre Stellungnahme ein, wo rin sie ausführte, dass sie nach Vorlage der neuen Arztberichte an ihren bera tenden Arzt die Verfügung vom 11. Oktober 2016 samt Einspracheentscheid vom 15. März 2017 zurückziehe und die Beschwerde somit als gegenstandslos zu gelten habe (Urk. 14). Das Gericht zieht in Erwägung: 1.</w:t>
      </w:r>
    </w:p>
    <w:p>
      <w:r>
        <w:t>Nach Art. 53 Abs. 3 ATSG kann der Versicherungsträger eine Verfügung oder einen Einspracheentscheid, gegen die Beschwerde erhoben wurde, so lange wie dererwägen, bis er gegenüber der Beschwerdebehörde Stellung nimmt. Die neue Verfügung oder der neue Einspracheentscheid beendet den Streit insoweit, als damit den Anträgen der beschwerdeführenden Partei entsprochen wird. Soweit den Beschwerdeanträgen nicht stattgegeben wird, besteht der Rechtsstreit wei ter; in diesem Fall muss die Beschwerdebehörde auf die Sache eintreten, ohne dass die beschwerdeführende Partei die neue Verfügung oder den neuen Ein spracheentscheid anzufechten braucht (vgl. BGE 113 V 237). Einem nach der Vernehmlassung ergangenen Wiedererwägungsentscheid kommt jedoch nur die Bedeutung eines Antrages an das Gericht zu, wie zu entscheiden sei (ZAK 1989 S. 563 E. 2a, vgl. auch ZAK 1989 S. 310).</w:t>
      </w:r>
    </w:p>
    <w:p>
      <w:r>
        <w:t>Vorliegend erfolgte die Eingabe der Beschwerdegegnerin, mit welcher sie die Aufhebung (beziehungsweise den „Rückzug“) des Einspracheentscheids vom 15. März 2017 (Urk. 2) erklärte, am 26. Juli 2017 (Urk. 14) und damit nach Er stattung der Beschwer deantwort (Urk. 8). Ihr kommt daher nur die Bedeutung eines Antrages an das Gericht zu, wie zu entscheiden sei, während eine nach diesem Zeitpunkt erlassene Verfügung selber von der Rechtsprechung als nich tig betrachtet wird (Ueli Kieser, ATSG-Kommentar Rz 78 zu Art. 53 m.w.H.).</w:t>
      </w:r>
    </w:p>
    <w:p>
      <w:r>
        <w:rPr>
          <w:b/>
        </w:rPr>
        <w:t>E. 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3</w:t>
      </w:r>
    </w:p>
    <w:p>
      <w:r>
        <w:t>Sinngemäss bejaht die Beschwerdegegnerin mit ihren Ausführungen vom 26. Juli 2017 (Urk. 14) den Kausalzusammenhang zwischen der Ruptur des vor deren Kreuzbandes des linken Knies der Beschwerdeführerin und dem Ereignis vom 17. Juli 2015 indem sie festhielt, die Operation vom 15. Juni 2017 gehe zu ihren Lasten. Sie beantragt die Aufhebung des Einspracheentscheides vom 15. März 2017 und der diesem zugrundeliegenden Verfügung vom 11. Oktober 2016 (Urk. 14).</w:t>
      </w:r>
    </w:p>
    <w:p>
      <w:r>
        <w:t>Damit liegen in Bezug auf die Beschwerde der Beschwerdeführerin vom 2 7. April 2017 (Urk. 1) übereinstimmende Parteia nträge auf Gutheissung vor .</w:t>
      </w:r>
    </w:p>
    <w:p>
      <w:r>
        <w:rPr>
          <w:b/>
        </w:rPr>
        <w:t>E. 4.1</w:t>
      </w:r>
    </w:p>
    <w:p>
      <w:r>
        <w:t>Im Wesentlichen unbestritten sind vorliegend der Unfallhergang, wonach der Sohn der Beschwerdeführerin am 17. Juli 2015 auf dem Spielplatz in ihr linkes Knie stiess (Urk. 9/4), sowie das Vorliegen einer Ruptur des vorderen Kreuz bandes des linken Knies (MR-Befund vom 5. Februar 2016; Urk. 9/3).</w:t>
      </w:r>
    </w:p>
    <w:p>
      <w:r>
        <w:rPr>
          <w:b/>
        </w:rPr>
        <w:t>E. 4.2</w:t>
      </w:r>
    </w:p>
    <w:p>
      <w:r>
        <w:t>Mit Schreiben vom 21. Juni 2017 (Urk. 11/1) führte Dr. med. Z.___, Facharzt für Orthopädische Chirurgie, unter Hinweis auf den Operationsbericht vom 15. Juni 2017 (Urk. 11/2) und die Videoprints (Urk. 11/3) aus, während der Operation habe sich bestätigt, dass es sich um eine frische traumatische Läsion handle und dass diese sicher nicht vor zehn Jahren entstanden sei. Das Ein drücklichste sei der eingedrückte Knorpel am Femurkondyl. Ebenfalls sei die Aufhängung medial des lateralen Meniskus ausgerissen. Der einzige degenera tive Schaden, welcher sich gezeigt habe, sei der durchgeschabte Korbhenkelriss des medialen Hinterhorns. Hier hätte man eigentlich früher operieren sollen. Die Verletzung, die anlässlich der Operation vom 15. Juni 2017 dokumentiert wor den sei, sei mit an Sicherheit grenzender Wahrscheinlichkeit durch das Ereignis vom 17. Juli 2015 entstanden. Es fänden sich reine posttraumatische Läsionen.</w:t>
      </w:r>
    </w:p>
    <w:p>
      <w:r>
        <w:rPr>
          <w:b/>
        </w:rPr>
        <w:t>E. 4.3</w:t>
      </w:r>
    </w:p>
    <w:p>
      <w:r>
        <w:t>Aufgrund der Aktenlage ( vorstehend E. 4 .2 ; Urk. 9/6, Urk. 9/11/2 ) ist die Unfall kausalität der von der Beschwerdeführerin geklagten Beschwerden ausgewiesen und in Übereinstimmung mit den Parteiausführungen (Urk. 1, Urk. 14) zu beja hen. Damit hat die Beschwerdegegnerin für die Folgen des Unfalls vom 17. Juli 2015 die gesetzlichen Leistungen zu erbringen.</w:t>
      </w:r>
    </w:p>
    <w:p>
      <w:r>
        <w:t>Die Beschwerde ist daher gestützt auf die Akten- und Rechtslage im Einklang mit den übereinstimmenden Parteianträgen (Urk. 1, Urk. 14) gutzuheissen. Da mit ist der angefochtene Einspracheentscheid vom 15. März 2017 (Urk. 2) auf zuheben, und es ist festzustellen, dass die Beschwerdegegnerin für das Ereignis vom 1 7. Juli 2015 die gesetzlichen Versicherungsleistungen zu erbringen hat.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