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UV.2017.00076 vom 31. August 2018</w:t>
      </w:r>
    </w:p>
    <w:p>
      <w:r>
        <w:t>ZH Sozialversicherungsgericht, 2018-08-31, DE</w:t>
      </w:r>
    </w:p>
    <w:p>
      <w:r>
        <w:rPr>
          <w:b/>
        </w:rPr>
        <w:t xml:space="preserve">Quelle: </w:t>
      </w:r>
      <w:r>
        <w:t>https://mcp.opencaselaw.ch/entscheid/zh_sozialversicherungsgericht_UV.2017.00076</w:t>
      </w:r>
    </w:p>
    <w:p>
      <w:r>
        <w:t>FR: ZH_SOZIALVERSICHERUNGSGERICHT UV.2017.00076 du 31 août 2018</w:t>
      </w:r>
    </w:p>
    <w:p>
      <w:r>
        <w:t>IT: ZH_SOZIALVERSICHERUNGSGERICHT UV.2017.00076 del 31 agosto 2018</w:t>
      </w:r>
    </w:p>
    <w:p>
      <w:pPr>
        <w:pStyle w:val="Heading2"/>
      </w:pPr>
      <w:r>
        <w:t>Erwägungen</w:t>
      </w:r>
    </w:p>
    <w:p>
      <w:r>
        <w:rPr>
          <w:b/>
        </w:rPr>
        <w:t>E. 1.1</w:t>
      </w:r>
    </w:p>
    <w:p>
      <w:r>
        <w:t>Am 1. Januar</w:t>
      </w:r>
    </w:p>
    <w:p>
      <w:r>
        <w:t>2017 sind die am 25. September</w:t>
      </w:r>
    </w:p>
    <w:p>
      <w:r>
        <w:t>2015 beziehungsweise am 9. Novem ber 2016 verabschiedeten geänderten Bestimmungen des Bundesge -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 rteilende Unfall hat sich am 28 . September 2015 ereignet, weshalb die bis 31. Dezember 2016 gültig gewesenen Normen auf den vorliegenden Fall Anwendung finden und in dieser Fassung zitiert werden.</w:t>
      </w:r>
    </w:p>
    <w:p>
      <w:r>
        <w:rPr>
          <w:b/>
        </w:rPr>
        <w:t>E. 1.2</w:t>
      </w:r>
    </w:p>
    <w:p>
      <w:r>
        <w:t>Gemäss Art.</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Versicherungsleistungen werden auch für Rückfälle und Spä tfolgen gewährt (Art.</w:t>
      </w:r>
    </w:p>
    <w:p>
      <w:r>
        <w:rPr>
          <w:b/>
        </w:rPr>
        <w:t>E. 1.5</w:t>
      </w:r>
    </w:p>
    <w:p>
      <w:r>
        <w:t>dargelegt, ist der Fallabschluss vorzunehmen, wenn von der Fortsetzung der ärztlichen Behandlung keine namhafte Besserung im Sinne einer zu erwartenden Steigerung oder Wiederherstellung der unfallbedingt beein trächtigten Arbeitsfähigkeit zu erwarten ist. Diese Frage ist prospektiv zu beurteilen (Urteil des Bundesgerichts 8C_285/2016 vom 2 2. Juli 2016 E. 7.1). Aufgrund der medizinischen Vorakten und der kreisärztlichen Untersuchung des Beschwerdeführers ist die prognostis che Beurteilung durch Dr. B.___ schlüssig und nachvollziehbar dargelegt worden. Seine Einschätzung deckt</w:t>
      </w:r>
    </w:p>
    <w:p>
      <w:r>
        <w:t>sich mit den Ausführungen und Befunden der Ärzte der Z.___ . Diese erachteten die möglichen medizinischen Massnahmen (vgl. vorstehend E. 4.1) lediglich</w:t>
      </w:r>
    </w:p>
    <w:p>
      <w:r>
        <w:t>als probatorisch, woraus nicht auf eine namhafte Verbesserung im Sinne einer Steigerung der Arbeitsfähigkeit</w:t>
      </w:r>
    </w:p>
    <w:p>
      <w:r>
        <w:t>geschlossen werden kann.</w:t>
      </w:r>
    </w:p>
    <w:p>
      <w:r>
        <w:t>Ebenso hat auch Dr. B.___ in seiner Stellungnahme vom 9. September 2016 nicht festgehalten, dass mit der Knie-Orthese ( Unloader</w:t>
      </w:r>
    </w:p>
    <w:p>
      <w:r>
        <w:t>Brace ) mit überwiegender Wahrscheinlichkeit eine Verbesserung erreicht werden kann, sondern nur, dass eventuell eine akute Verschlimmerung verhindert werden kann (vgl. vorstehend E. 3.7). Das genügt aber nicht, um den Fallabschluss in Frage zu stellen.</w:t>
      </w:r>
    </w:p>
    <w:p>
      <w:r>
        <w:t>Schliesslich bestätigte sich auch die Prognose von Dr. B.___ dahingehend, als von der durchgeführten Unloader</w:t>
      </w:r>
    </w:p>
    <w:p>
      <w:r>
        <w:t>Brace -Massnahme kei ne Verbesserung einge treten ist (vgl. vorstehend E. 3.8) . 4.3</w:t>
      </w:r>
    </w:p>
    <w:p>
      <w:r>
        <w:t>Zusammenfassend bestehen somit keine Zweifel an der Zuverlässigkeit und Schlüssigkeit der kreisärztlichen Feststellungen, weshalb darauf abzustellen ist (vgl. zum B eweiswert versicherungsinterner Berichte BGE 135 V 465).</w:t>
      </w:r>
    </w:p>
    <w:p>
      <w:r>
        <w:t>Vor diesem Hintergrund ist nicht zu beanstanden, dass die Beschwerdegegnerin die Kostenübernahme der Heilbehandlung sowie die Taggeldleistungen einstellte und per Ende Februar 2016 den Fallabschluss verfügte. 4.4</w:t>
      </w:r>
    </w:p>
    <w:p>
      <w:r>
        <w:t>Soweit der Beschwerdeführer verlangt, es seien weitere Abklärungen durchzu führen (vgl. Urk. 1 S. 7 ), kann darauf in antizipierter Beweiswürdigung verzichtet werden (BGE 127 V 491 E. 1b mit Hinweisen). Der Gesundheitszustand ist auf grund der medizinischen Akten</w:t>
      </w:r>
    </w:p>
    <w:p>
      <w:r>
        <w:t>hinreichend abgeklärt. Namentlich erscheinen aufgrund der vorliegenden bildgebenden Befunde und der Tatsache, dass eine vollständige Arbeitsfähigkeit in einer angepassten Tätigkeit von medizinischer Seite her attestiert wurde, weitere Abklärungen als nicht notwendig. 5.</w:t>
      </w:r>
    </w:p>
    <w:p>
      <w:r>
        <w:t>Soweit der Beschwerdeführer geltend macht, ihm sei eine Übergangsfrist von fünf Monat en zu gewähren für den Berufswechsel unter Weiterausrichtung von Tag geldleistungen (Urk. 1 S. 8 Ziff. 5), ist ihm nicht zu folgen. Mit dieser A rgumentation übersieht er , dass ihm nicht etwa die Taggelder gestützt auf Art. 6 Satz 2 ATSG gekürzt wurden, sondern dass der Anspruch auf ein Taggeld gestützt auf Art. 19 Abs. 1 U VG (Fallabschluss, vgl. dazu vorstehend E. 1.5 ) untergegangen ist. Da wie bereits dargelegt von einer Fortsetzung der ärztlichen Behandlung über den 1. März 2016 hinaus keine namhafte Besserung des Gesundheitszu standes mehr zu erwarten war, durfte die Beschwerdegegnerin die Taggeld - leistungen einstellen, ohne ihn zunächst zu einem Berufswechsel aufzufordern und eine Übergangsfrist zu gewähren (vgl. dazu Urteil des Bundesgerichts 8C_83/2017 vom 11. Dezember 2017 E. 5.2 f.).</w:t>
      </w:r>
    </w:p>
    <w:p>
      <w:r>
        <w:t>Im Übrigen ist die im Zusammen hang mit Krankentaggeldern gewährte A npassungszeit (BGE 114 V 281 E. 5b) im Bereich der Unfallversicherung rechtsprechungsgemäss nicht analog anzuwenden (Urteil des Bundesgerichts 8C_ 212/2017 vom 1. Februar 2018 E. 4.3). 6 . 6 .1</w:t>
      </w:r>
    </w:p>
    <w:p>
      <w:r>
        <w:t>Es bleibt die Höhe der Erwerbsunfähigkeit von 11 % zu prüfen. Der Beschwer de führer beanstandete, die Erwerbsunfähigkeit von 11 % sei nicht nachvo llzieh bar. Insbesondere sei en die von der Beschwerdegegnerin ausgesuchten Tätigkeiten nicht ganztags ausführbar und entsprächen nicht einmal dem Belastungs profil (Urk. 1 S. 9). 6 .2</w:t>
      </w:r>
    </w:p>
    <w:p>
      <w:r>
        <w:t>Im angefochtenen Einspracheentscheid sind die rechtlichen Erwägungen zum Invaliditätsgrad und dessen Bemessung (Art. 18 Abs. 1 UVG; Art. 7 f. und Art. 16 ATSG) zutreffend wiedergegeben (Urk. 2 S. 4 f. Ziff. 2 a). 6 .3</w:t>
      </w:r>
    </w:p>
    <w:p>
      <w:r>
        <w:t>Die Beschwerdegegnerin ermittelte ausgehend von den Angaben der ehemaligen Arbeitgeberin und einem Pensum von 100 % ein hypothetisches Valideneinkommen von Fr. 65‘522 .-- (vgl. Urk. 10/243; Urk. 10/261 S. 3 oben ). Dies ist nicht zu beanstanden und blieb unbestritten. 6 .4</w:t>
      </w:r>
    </w:p>
    <w:p>
      <w:r>
        <w:t>Für die Festsetzung des Invalideneinkommens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verbleibende Arbeitsfähigkeit in zumut barer Weise voll ausschöpft, und erscheint zudem das Einkommen aus der Arbeits leistung als angemessen und nicht als Soziallohn, gilt grundsätzlich der tatsächlich erzielte Verdienst als Invalidenlohn. Ist kein solches tatsächlich erziel tes Erwerbseinkommen gegeben, namentlich weil die versicherte Person nach Ein tritt des Gesundheitsschadens keine oder jedenfalls keine ihr an sich zumut bare neue Erwerbstätigkeit aufgenommen hat, so können nach der Rechtspre chung entweder Tabellenlöhne gemäss den vom Bundesamt für Statistik perio disch herausgegebenen Lohnstrukturerhebungen (LSE) oder die DAP-Zahlen herangezogen werden (BGE 139 V 592 E. 2.3 mit Hinweisen). Die DAP ist eine Sammlung von Beschreibungen in der Schweiz tatsächlich exi stierender Arbeitsplätze. Damit unterscheidet sie sich von der tabellarischen Dar stellung von Durchschnittslöhnen, die im Rahmen der Schweizerischen Lohn struk turerhebung (LSE) vom Bundesamt für Statistik regelmässig erhoben werden. Neben allgemeinen Angaben und Verdienstmöglichkeiten werden in der DAP die physischen Anforderungen an die Stelleninhaber oder Stelleninhaberinnen fest ge halten. Der Raster der körperlichen Anforderungskriterien basiert auf dem inter nationalen medizinischen Standard EFL nach Isernhagen (ergonomische Funk tions - und Leistungsprüfung). Die Suva entschloss sich 1995 zum Aufbau der DAP mit dem Zweck, das Invalideneinkommen entsprechend den gericht lichen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 ru fenen Gerichts, die Rechtskonformität der DAP-Invaliditätsbemessung zu prüfen, gegebenenfalls die Sache an den Versicherer zurückzuweisen oder an Stelle des DAP-Lohnvergleichs einen Tabellenlohnvergleich gestützt auf die LSE vorzunehmen (BGE 139 V 592 E. 6.3, 129 V 472 E. 4.7.2). Rechtsprechungsgemäss sind im Rahmen des DAP-Systems, bei dem aufgrund der ärztlichen Zumutbarkeitsbeurteilung anhand von Arbeitsplatzbeschreibungen konkrete Verweisungstätigkeiten ermittelt werden, Abzüge grundsätzlich nicht sach gerecht. Abzüge sind nur vorzunehmen, wenn zeitliche oder leistungs mässige Reduktionen medizinisch begründet sind. Im Übrigen wird spezifischen Beeinträchtigungen in der Leistungsfähigkeit bei der Auswahl der zumutbaren DAP-Profile Rechnung getragen. Bezüglich der weiteren persönlichen und beruf lichen Merkmale (Teilzeitarbeit, Alter, Anzahl Dienstjahre, Aufenthaltsstatus), die bei der Anwendung der LSE zu einem Abzug führen können, ist darauf hinzu weisen, dass auf den DAP-Blättern in der Regel nicht nur ein Durchschnittslohn, sondern ein Minimum und ein Maximum angegeben sind, innerhalb deren Spann breite auf die konkreten Umstände Rücksicht genommen werden kann (BGE 139 V 592 E. 7.3, 129 V 472 E. 4.2.3). 6 .5</w:t>
      </w:r>
    </w:p>
    <w:p>
      <w:r>
        <w:t>Die Beschwerdegegnerin zog zur Ermittlung des hypothetischen Invalidenein kommens fünf DAP -Profile heran und machte die vorgeschriebenen Angaben über die Gesamtzahl der aufgrund der gegebenen Behinderung in Frage kommen den dokumentierten Arbeitsplätze, über den Höchst- und den Tiefstlohn sowie über den Durchschnittslohn der dem jeweils verwendeten Behinderungsprofil ent spr echenden Gruppe (vgl. Urk. 10/244 ). Diese Grundlagen wurden der Beschwer de führerin im Einspracheverfahren zur Kenntnis gebracht (vgl. Urk. 10/251 ).</w:t>
      </w:r>
    </w:p>
    <w:p>
      <w:r>
        <w:t>Gemäss Belastungsprofil (vgl. Urk. 10/115 S. 4 Ziff. 5.1 ; vgl. vorstehend E. 4.1 ) sind dem Beschwerdeführer Tätigkeiten mit seltenen Knien und Kniebeugen, oftmaligem Sitzen und Stehen, Vermeidung von langen Str e cken und unebenem Gelände mit Lasten von maximal 5-10 kg und Lasten von 10-25 kg selten ganztägig zumutbar. 6 .6</w:t>
      </w:r>
    </w:p>
    <w:p>
      <w:r>
        <w:t>Bei DAP -Profil Nr. 4774 (Urk. 10/244 S. 6-9) handelt es sich um eine Tätigkeit, bei der eine High-Tech-Presse bedient wird. Es werden sehr teure Spezial an fertigungen von Schleifelementen gepresst. Sehr leichtes H eben und Tragen (bis 5 kg) bis L endenhöhe ist oft nötig, Gewichte von 5-10 kg nur manchmal. Beid händigkeit ist notwendig, ebenso b edingt diese Tätigkeit manchmal Sitzen und Stehen sowie Gehen von bis zu 50 m. Dieses DAP-Profil entspricht den Fähig keiten des Beschwerdeführers.</w:t>
      </w:r>
    </w:p>
    <w:p>
      <w:r>
        <w:t>DAP-Profil Nr. 4548 (Urk. 10/244 S. 10-13) beschreibt die Tätigkeit als Kleinteil monteur: Es werden von Hand Kleinteile für Beschläge montiert. Manchmal ist ein Heben und Tragen von Lasten bis zu 10 kg notwendig sowie eine vorgeneigte Körperposition. Diese Tätigkeit bedingt oft Sitzen und Stehen. Da mit genügt auch dieses DAP-Profil dem B e lastungsprofil.</w:t>
      </w:r>
    </w:p>
    <w:p>
      <w:r>
        <w:t>Bei DAP-Profil Nr. 851 5 (Urk. 10/244 S. 14-17) werden Feuchte- und Tempera tur-Messgeräte bereitgestellt und montiert. Sehr leichtes Heben und Tragen bis Lendenhöhe ist oft erforderlich, ebenso leichtes und feinmotorisches Hantieren mit Gegenständen. Die Tätigkeit wird oft im Sitzen durchgeführt und bedingt auch oftmals die Zurücklegung von kurzen Strecken bis 50 m. Das Belastungs profil wird eingehalten.</w:t>
      </w:r>
    </w:p>
    <w:p>
      <w:r>
        <w:t>DAP-Profil Nr. 9966 (Urk. 10/244 S. 18-21) beschreibt eine Tätigkeit, bei der Wähenböden , die per Förderband an den Arbe itsplatz kommen, in Kunststoff ki sten gelegt und gestapelt werden. Sehr leichtes Heben und Tragen bis Lenden höhe sowie Stehen ist oft erforderlich, mittelmässiges Hantieren mit Geräten ist manchmal nötig, ebenso Gehen bis 50 m. Auch dieses DAP-Profil genügt dem Belastungsprofil.</w:t>
      </w:r>
    </w:p>
    <w:p>
      <w:r>
        <w:t>Sodann beschreibt DAP-Profil Nr. 8316 (Urk. 10/244 S. 22-25) eine Tätigkeit, bei der der Mitarbeiter eine automatische Kartonfaltmaschine bedient und dabei diese Aufstellmaschine mit Kartonrohlingen auffüllt und auf der anderen Seite die fertige Kartonschachtel entnimmt. Sehr leichtes Heben und Tragen (bis 5 kg) bis Lendenhöhe sowie längeres Sitzen sind oftmals nötig, manchmal auch Gehen bis 50 m. Das Belastungsprofil wird eingehalten. 6 .7</w:t>
      </w:r>
    </w:p>
    <w:p>
      <w:r>
        <w:t>Zusammenfassend zog die Beschwerdegegnerin zur Ermittlung des hypotheti schen Invalideneinkommens fünf zumutbare Arbeitsplätze bei und ging mit der Annah me eines Wertes von Fr. 58'571.-- vom Durchschnitt aus (vgl. Urk. 10/244 S. 1). Dieses Vorgehen ist nicht zu beanstanden, womit das Invalideneinkommen korrekt ermittelt wurde.</w:t>
      </w:r>
    </w:p>
    <w:p>
      <w:r>
        <w:t>Eine Berechnung anhand der LSE-Daten ist somit nicht erforderlich. Selbst wenn die vom Bundesamt fü r Statistik herausgegebene Schweizerische Lohnstrukturer hebung (LSE) herangezogen und auf die vom Beschwerdeführer in der Beschwer deschrift genannte Tabelle abgestellt und vom errechneten Jahreseinkommen ohne Behinderung ausgegangen würde (Fr. 67'119.25; vgl. Urk. 1 S. 10), erg ä be dies bei einem vorliegend maximal und grosszügig zu gewährenden Tabellen lohnabzug von 10 % immer noch ein Invalideneinkommen von Fr. 60'407.-- (Fr. 67'119.25 x 0.9) , welches über dem von der Beschwerdegegnerin ermittelten Wert von Fr. 58'571.-- liegt.</w:t>
      </w:r>
    </w:p>
    <w:p>
      <w:r>
        <w:t>Soweit der Beschwerdeführer geltend macht, die verwendeten DAP-Profile ent hiel ten unzumutbare Tätig kei ten , da sie nicht dem veralteten Belastungsprofil von Dr. C.___ entsprächen, so kann dem nicht gefolgt werden. Es handelt sich bei sämtlichen Profilen um lediglich hypothetisch ausübbare Tätigkeiten, welche zur Ermittlung des Invalideneinkommens herangezogen wurden. Keine s dieser Profile enthält Tätigkeiten, die die Maximalbelastungen überschreiten , zumal bei Ein haltung dieser Maximalbelastungen gemäss Dr. B.___ , welcher eine Neubeurtei lung der Leistungsfähigkeit des Beschwerdeführers vorgenommen und im Ergeb nis die Einschätzung von Dr. C.___ übernommen hat, eine vollständige, das he isst ganztäg ige Arbeitsfähigkeit besteht (vgl. vorstehend E. 4) . 7 . 7 .1</w:t>
      </w:r>
    </w:p>
    <w:p>
      <w:r>
        <w:t>Die Beschwerdegegnerin verneinte den Anspruch auf eine Integritätsent schädi gung (Urk. 2 S. 7 ff.), was vom Beschwerdeführer beanstandet wird. 7 .2</w:t>
      </w:r>
    </w:p>
    <w:p>
      <w:r>
        <w:t>Nach Art. 24 Abs. 1 UVG hat die versicherte Person Anspruch auf eine ange 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Jahresver dienstes nicht übersteigen und wird entsprechend der Schwere des Integritäts schadens abgestuft (Art. 25 Abs. 1 UVG).</w:t>
      </w:r>
    </w:p>
    <w:p>
      <w:r>
        <w:t>Gemäss Art. 25 Abs. 2 UVG regelt der Bundesrat die Bemessung der Ent schädigung.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t>Die Medizinische Abteilung der Suva hat in Weiterentwicklung der bundesrätlichen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 7 .3</w:t>
      </w:r>
    </w:p>
    <w:p>
      <w:r>
        <w:t>In der Suva-Tabelle 5 (Revision 20</w:t>
      </w:r>
    </w:p>
    <w:p>
      <w:r>
        <w:rPr>
          <w:b/>
        </w:rPr>
        <w:t>E. 2</w:t>
      </w:r>
    </w:p>
    <w:p>
      <w:r>
        <w:t>Der Versicherte erhob am 20. März 2017 Beschwerde gegen den Einsprache entscheid vom 15. Februar 2017 (Urk. 2) und beantragte, dieser sei aufzuheben und es seien ihm über den 1. März 2016 hinaus die Kosten für die Heilbehandlung und die Taggeldleistungen auszurichten. Es seien weitere medizinische Abklä rungen , insbesondere eine orthopädische Begutachtung zu treffen. Eventuell seien ihm eine Invalidenrente von mindestens 18 % und eine Integritätsent schädigung zuzusprechen. In formeller Hinsicht ersuchte er um Gewährung der unentgelt lichen Rechtspflege (Urk. 1 S. 2).</w:t>
      </w:r>
    </w:p>
    <w:p>
      <w:r>
        <w:t>Die Suva beantragte mit Beschwerdeantwort vom 8. Mai 2017 (Urk. 9) die Abwei sung der Beschwerde, was dem Beschwerdeführer am 16. Mai 2017 zur Kenntnis gebracht wurde (Urk. 11).</w:t>
      </w:r>
    </w:p>
    <w:p>
      <w:r>
        <w:t>Replicando (Urk. 12) und d uplicando (Urk. 18) hielten die Parteien an ihren Be gehren fest.</w:t>
      </w:r>
    </w:p>
    <w:p>
      <w:r>
        <w:t>Mit Gerichtsverfügung vom 11. Juli 2017 w urden antragsgemäss (vgl. Urk. 1 S. 2 ) die unentgeltliche Rechtsvertretung bewilligt und dem Beschwerdeführer die Duplik</w:t>
      </w:r>
    </w:p>
    <w:p>
      <w:r>
        <w:t>zugestellt (Urk. 19 ). Das Gericht zieht in Erwägung: 1.</w:t>
      </w:r>
    </w:p>
    <w:p>
      <w:r>
        <w:rPr>
          <w:b/>
        </w:rPr>
        <w:t>E. 2.1</w:t>
      </w:r>
    </w:p>
    <w:p>
      <w:r>
        <w:t>Die Beschwerdegegnerin ging im angefochtenen Einspracheentscheid (Urk. 2) davon aus, die bisherige Tätigkeit als Gipser oder Maler sei dem Beschwerdeführer dauerhaft nicht mehr zumutbar und es sei von einer 100%igen Arbeitsunfähigkeit auszugehen. Sie nahm per 29. Februar 2016 den Fallabschluss vor (S. 3, S. 5 ff.) und ermittelte eine Er werbsunfähigkeit von 11 % (S . 7) sowie verneinte die Aus richtung einer Integritätsentschädigung (S. 8).</w:t>
      </w:r>
    </w:p>
    <w:p>
      <w:r>
        <w:t>In der Beschwerdeantwort (Urk. 9 ) hielt die Beschwerdegegnerin sodann fest, der Fallabschluss sei zu Recht erfolgt, da eine namhafte Verbesserung des Gesund heitszustandes – im Sinne einer wesentlichen Verbesserung der Arbeitsfähigkeit – entgegen der Auffassung des Beschwerdeführers nicht zu erwarten sei , da bereits ab März 2016 eine vollständige Arbeitsfähigkeit in einer leidensangepassten Beschäftigung bestanden habe. Der Sachverhalt sei genügend abgeklärt worden . Aufgrund der vorliegenden Akten- und Beweislage könne auf weitere Beweis er hebungen – namentlich die Einholung eines orthopädischen Gutachtens – ver zichtet werden (S. 3 ff. ; vgl. auch Urk. 18 ) .</w:t>
      </w:r>
    </w:p>
    <w:p>
      <w:r>
        <w:rPr>
          <w:b/>
        </w:rPr>
        <w:t>E. 2.2</w:t>
      </w:r>
    </w:p>
    <w:p>
      <w:r>
        <w:t>Demgegenüber machte der Beschwerdeführer geltend (Urk. 1), gestützt auf die medizinische Einschätzung des behandelnden Orthopäden habe ein verzögerter Heilungsverlauf vorgelegen und der Arzt habe eine Valgisationsosteotomie als Massnahme zur Schmerzreduktion und Verzögerung der fortschreitenden dege ne rativen Abnützung am medialen Femurkondylus vorgesehen , ansonsten ein pro thetischer Gelenksersatz bereits in wenigen Jahren drohe (S. 5). Zwar habe die Z.___ dieser Massnahme ablehnend gegenübergestanden, jedoch weitere Behandlungsmöglichkeiten vorgeschlagen. Durch eine intraartikuläre Kortison-Infiltration sei eine Besserung des Gesundheitszustandes zu erwarten. Da in Bezug auf den Fallabschluss die Auffassung des Kreisarztes derjenigen des behandelnden Arztes diametral widerspreche, sei ein externes medizinisches Gut achten einzuholen, welches auch die Frage der Integritätsentschädigung neu zu prüfen habe (S. 5 ff. ; vgl. auch Urk. 12 ).</w:t>
      </w:r>
    </w:p>
    <w:p>
      <w:r>
        <w:rPr>
          <w:b/>
        </w:rPr>
        <w:t>E. 2.3</w:t>
      </w:r>
    </w:p>
    <w:p>
      <w:r>
        <w:t>Streitig und zu prüfen ist, ob die Beschwerdegegnerin den Fallabschluss zu Recht vorgenommen hat. Sodann ist die Hö he des Invaliditätsgrades von 11 % sowie die Integritätsentschädigung strittig.</w:t>
      </w:r>
    </w:p>
    <w:p>
      <w:r>
        <w:t>Nicht streitig und deshalb nicht weiter zu prüfen ist die Frage des Rückfalls (vgl. hierzu vorstehend E. 1.4) , da dieser von der Beschwerdeführerin</w:t>
      </w:r>
    </w:p>
    <w:p>
      <w:r>
        <w:t>anerkannt (vgl. Urk. 10/187 ; Urk. 10/195 S. 5) , Leistungen erbracht und eine Rente zugesprochen wurde (vgl. Urk. 10/247) . Weiterungen hierzu erübrigen sich damit. 3. 3.1</w:t>
      </w:r>
    </w:p>
    <w:p>
      <w:r>
        <w:t>Am 28. September 2015 verletzte sich der Beschwerdeführer im Wald am linken Knie (vgl. Schadenmeldung vom 30. Septem ber 2015, Urk. 10/179 S. 17 f. ; Urk. 10 /185 ). Aufgrund posttraumatische r therapieresistente r mediale r Knie schmer zen begab sich der Beschwerdeführer am 3. November 2015 bei Dr. med. A.___ , Facharzt für Orthopädie, in Behandlung, welcher nach einer bildgebenden Untersuchung (vgl. Urk. 10/179 S. 23) mit Bericht vom 20. Novem ber 2015 (Urk. 10/179 S. 19 f. ) ausführte, es bestehe ein Mischbild zwischen einer möglichen medialen Meniskusläsion sowie den posttraumatischen degenerativen Veränderungen bei Zustand nach osteochondraler Fraktur mit Osteosynthese ma te rialentfernung . Er erachte eine therapeutische Arthroskopie des linken Knie ge lenks für angezeigt.</w:t>
      </w:r>
    </w:p>
    <w:p>
      <w:r>
        <w:t>Am 4. Dezember</w:t>
      </w:r>
    </w:p>
    <w:p>
      <w:r>
        <w:t>2015 wurde das linke Knie des Beschwerdeführer s durch Dr. A.___</w:t>
      </w:r>
    </w:p>
    <w:p>
      <w:r>
        <w:t>arthroskopisch saniert (vgl. Operationsbericht vom 4. Dezember 2015, Urk. 10/181). 3.2</w:t>
      </w:r>
    </w:p>
    <w:p>
      <w:r>
        <w:t>Anlässlich der ersten postoperativen Verlaufskontrolle vom 20. Januar 2016 nach der Arthroskopie des linken Kniegelenkes stellte Dr. A.___ im Bericht vom 21. Januar 2016 (Urk. 10/190) fest, dass e in leicht verzögerter, aber jedoch noch komplikationsloser Verlauf bestehe. Die medialen Restbeschwerden sähe er im Zusammenhang mit der Chondromalazie am medialen Femurkondylus , weshalb sich diesbezüglich mittel- und längerfristig die Frage nach der weiteren Behand lung , insbesondere der Entlastung des medialen Kompartimentes stelle. Zur Dis kussion stehe die Valgisationsosteotomie am Tibiakopf des linken Beines. Diese Massnahme würde die mechanische Belastungsachse aus dem medialen Kompar ti ment verschieben und neben einer Schmerzreduktion auch eine weitere fort schrei tende degenerative Abnutzung am medialen Femurkondylus verzögern. Aus diesem Grund ersuche er die Suva um eine kreisärztliche Untersuchung und insbesondere um Kostengutsprache für die vorgesehene weitere Behandlung am linken Kniegelenk (S. 3). 3.3</w:t>
      </w:r>
    </w:p>
    <w:p>
      <w:r>
        <w:t>Der Kreisarzt der Beschwerdegegnerin, Dr. med. B.___ , Facharzt für Chirurgie, fü hrte am 16. Februar 2016 eine Abschlussuntersuchung durch. In seinem Bericht gleichen Datums (Urk. 10/195) führte er aus, bei der Untersuchung zeige sich ein schlechtes Heilergebnis, das Kniegelenk sei nur mässig gut belast bar. Es träten immer wieder Ergüsse am linken Knie auf, das Gangbild sei etwas hinkend, die Beweglichkeit gegenüber rechts nur geringfügig eingeschränkt. Es bestehe keine Arbeitsfähigkeit mehr als Maler oder Gipser. Die Zumutbarkeits beurteilung für den allgemeinen Arbeitsmarkt entspreche der skizierten Zumut bar keit bei der kreisärztlichen Untersuchung vom Dezember 2009 (vgl. Urk. 10/115 Ziff. 5.1; ganztä g ige Tätigkeit mit Belastungsprofil). Die jetzt noch vorhandenen Beschwerden im Bereich des linken Kniegelenks seien unfallkausal. Es sei ein Endzustand erreicht, von weiteren Behandlungen könne keine wesent liche Verbesserung mehr erwartet werden . Zur endgültigen Beurteilung eines allfälligen Integritätsschadens seien Röntgenbilder in drei Ebenen des rechten (richtig: linken) Kniegelenks im Stehen anfertigen zu lassen. (S. 5). 3.4</w:t>
      </w:r>
    </w:p>
    <w:p>
      <w:r>
        <w:t>Dr. A.___ berichtete am 26. März 2016 (Urk. 10/213 S. 2-3), dass sich der Beschwerdeführer aufgrund der kreisärztlichen Untersuchung für eine konven tionelle Röntgenuntersuchung gemeldet habe. Die Situation am linken Knie sei unverändert. Es bestünden Belastungsschmerzen und eine limitierte Gehdistanz, ausserdem deutliche Anlaufschwierigkeiten und Schmerzen am Morgen und nach längerem Sitzen sowie zweitweise auch Schwellungszustände (S. 1). Er erachtete die von der Beschwerdegegnerin gefällte Beurteilung vom 16. Februar 2016, wo nach der Endzustand erreicht sei, für nicht nachvollziehbar. Der Beschwerde füh rer leide an einer posttraumatischen Chondromalazie am medialen Femur kondylus , weshalb die Entlastung des medialen Kompartimentes eine sinnvolle medi zi nische Massnahme darstelle. Zur Sanierung und Verbesserung der Geh fähig keit und der Belastbarkeit sei die Valgisationsosteotomie am linken Knie gelenk not wendig. Allenfalls drohe dem Beschwerdeführer der prothetische Gelenksersatz bereits in wenigen Jahren (S. 2). 3.5</w:t>
      </w:r>
    </w:p>
    <w:p>
      <w:r>
        <w:t>Kreisarzt Dr. B.___ nahm am 14. April 2016 (Urk. 10/218) Stellung zum Unter suchungsbericht von Dr. A.___ vom 26. März 2016 (vgl. vorstehend E. 3.4). Er äusserte sich dahingehend, dass es erfreulich sei, dass Schuheinlagen mit Aussenranderhöhung zu einer Verbesserung geführt hätten, es jedoch unzutref fend sei, dass ein Endzustand noch nicht festgestellt werden könne (S. 1). Er sehe insbesondere keinen Sinn darin, eine gemäss den bildgebenden Befunden vom 24. März 2016 festgestellte gerade Beinachse mittels Umstellungsosteotomie in ein X-Bein umzuwandeln, insbesondere da das laterale Kompartiment des Knie gelenks, das dadurch deutlich mehr belastet werde, nicht mehr unversehrt sei (Status nach Teilmeniskektomie ). Eine Kostenzusage für diesen Eingriff könne nicht gegeben werden. Es bleibe somit bei der Einschätzung, eine sinnvolle Be hand lung, die eine wesentliche Verbesserung des Zustands erbringen könnte, könne nicht gesehen werden, da der Endzustand erreicht sei (S. 1 f.). 3.6</w:t>
      </w:r>
    </w:p>
    <w:p>
      <w:r>
        <w:t>Am 21. Juli 2016 wurde der Beschwerdeführer in der Z.___ ambulant untersucht. Im Sprechstundenbericht gleichen Datums (Urk. 10/233) nannten die Ärzte als Diagnose eine posttraumatische osteochondrale Läsion am mediale n</w:t>
      </w:r>
    </w:p>
    <w:p>
      <w:r>
        <w:t>Femurkondylus links (S. 1) und führten aus, in Zusammenschau der klinis chen und radiologischen Befunde liessen sich die Beschwerden des Beschwerdeführers (Anlaufschmerz am Morgen für eine halbe Stunde, danach nach zirka zwei Stunden wieder Schmerzen und Schwellneigung, vgl. S. 1 unten) durch die degenerative Veränderung im Bereich des medialen Femurkondylus links nach</w:t>
      </w:r>
    </w:p>
    <w:p>
      <w:r>
        <w:t>osteochondraler Läsion erklären. Bei radiologisch orthograder Beinachse und sich dadurch ergebendem Umstellungswinkel von lediglich 4 Grad sei eine hohe valgisierende</w:t>
      </w:r>
    </w:p>
    <w:p>
      <w:r>
        <w:t>Tibiaumstellungsosteotomie wohl eher nicht zu empfehlen. Gleichzeitig bestehe beim Beschwerdeführer aufgrund der Teilmeniskektomie</w:t>
      </w:r>
    </w:p>
    <w:p>
      <w:r>
        <w:t>lateralseits und zusätzlich oberflächlichen Knorpelläsionen im Bereich des lateralen Femur kondylus zudem eine relative Kontraindikation für die Umstellungsosteotomie. Aktuell bestehe keine sinnvolle chirurgische Option. Allenfalls wäre ein proba torischer Versuch mit eine m</w:t>
      </w:r>
    </w:p>
    <w:p>
      <w:r>
        <w:t>valgisierenden</w:t>
      </w:r>
    </w:p>
    <w:p>
      <w:r>
        <w:t>Unloader-Brace zu empfehlen. Bei Beschwerdeexazerbation könnte über eine Kortison -Infiltration nachgedacht werden. Zudem könne, wenn auch bei schwacher Evidenz, aufgrund des jungen Alters des Beschwerdeführers eine Condrosulftherapie beziehungsweise eine Hyaluronsäure-Infiltration</w:t>
      </w:r>
    </w:p>
    <w:p>
      <w:r>
        <w:t>versucht werden . Des Weiteren sei Physiotherapie zur Kräftigung der kniestabilisierenden Muskulatur empfehlenswert (S. 2). 3.7</w:t>
      </w:r>
    </w:p>
    <w:p>
      <w:r>
        <w:t>Der Kreisarzt der Beschwerdegegnerin, Dr. B.___ , erachtete in seiner Stellung nahme vom 9. September 2016 (Urk. 10/237) die Verhinderung einer akuten Ver schlimmerung des Gesundheitszustandes mit der Knie-Orthese eventuell für mög lich und verwies hierzu auf die Einschätzung der Z.___ (S. 1). 3.8</w:t>
      </w:r>
    </w:p>
    <w:p>
      <w:r>
        <w:t>Dr. A.___ berichtete am 23. November 2016 (Urk. 10/239 S. 2f.). Er wies darauf hin, dass der Beschwerdeführer seit zirka zwei Monaten den Unloader</w:t>
      </w:r>
    </w:p>
    <w:p>
      <w:r>
        <w:t>Brace trage und dass unter dieser valgisierenden Belastung vor allem die femor opatellären Schmerzen zugenommen hätten, was zeitweise abends die Einnahme von Analgetika notwendig mache (S. 2 unten). Der Unloader</w:t>
      </w:r>
    </w:p>
    <w:p>
      <w:r>
        <w:t>Brace habe nicht die gewünsch te Beschwerdelinderung erbracht. Wie von den Kollegen der Z.___ vorgeschlagen, wäre nun die Indikation für eine intraartikuläre Kortison-Infiltration gegeben, jedoch möchte der Beschwerdeführer zuerst noch eine ambulante Physiotherapie versuchen (S. 3 oben). 4. 4.1</w:t>
      </w:r>
    </w:p>
    <w:p>
      <w:r>
        <w:t>Unbestritten ist, dass dem Beschwerdeführer die bisherige Tätigkeit als Gipser oder Maler nicht mehr zumutbar ist und eine vollstän dige Arbeitsunfähigkeit besteht (vgl. Urk. 2; Urk. 10/ 195).</w:t>
      </w:r>
    </w:p>
    <w:p>
      <w:r>
        <w:t>Dr. B.___ führte in Kenntnis der Vorakten sowie gestützt auf die Untersuchung des Beschwerdeführers aus, die bisherige Tätigkeit als Gipser oder Maler sei diese m dauerhaft nicht mehr zumutbar. Hingegen sei eine ganztägige Tätigkeit mit diversen Einschränkungen (Urk. 10/115 S. 4 f.: Knien und Kniebeuge selten, Sitzen und Stehen oft, Stellung frei wählbar sehr of t , Gehen bis 50</w:t>
      </w:r>
    </w:p>
    <w:p>
      <w:r>
        <w:t>m oft, Gehen über 50 m manchmal, Gehen lange Strecken sowie auf unebenem Gelände selten, Heben und Tragen mittelschwerer Lasten [10-25 kg] bis Len denhöhe selten, leichte Lasten [ 5-10 kg ] oft ) zumutbar . Der Endzustand sei erreicht, von weiteren Behandlungen sei keine Verbesserung mehr zu erwarten (vgl. vorstehend E. 3.3).</w:t>
      </w:r>
    </w:p>
    <w:p>
      <w:r>
        <w:t>Die Einschätzung von Dr. B.___ findet Stütze in der Untersuchung durch die Ärzte der Z.___ . Diese hielten nach einer ambulanten Unter suchung des Beschwerdeführers im Sprechstundenbericht vom 21. Juli 2016 und gestützt auf d ie bildgebenden Befunde (Urk. 10/235 S. 3 f. ) fest, dass eine valgi sie rende</w:t>
      </w:r>
    </w:p>
    <w:p>
      <w:r>
        <w:t>Tibiaumstellungsosteotomie wohl e her nicht zu empfehlen sei, mithin versprachen sie sich von diesem vom behandelnden Arzt vorgeschlagenen medi zi nischen Eingriff keine Verbesserung. Allenfalls erachteten sie diverse Massnah men ( Unloader</w:t>
      </w:r>
    </w:p>
    <w:p>
      <w:r>
        <w:t>Brace , Kortison-Infiltration, Hyaluronsäure-Infiltrat ion, Physio the rapie zur Kräftigun g der kniestabilisierenden Muskulatur) als mögliche Ver such e zur Verbesserung der gesundheitlichen Situation (vgl. vorstehend E. 3.6). 4.2</w:t>
      </w:r>
    </w:p>
    <w:p>
      <w:r>
        <w:t>Der Beschwerdeführer machte geltend,</w:t>
      </w:r>
    </w:p>
    <w:p>
      <w:r>
        <w:t>der Endzustand sei noch nicht erreicht, namentlich</w:t>
      </w:r>
    </w:p>
    <w:p>
      <w:r>
        <w:t>seien diverse Therapiemöglichkeiten noch nicht ausgeschöpft (Urk. 1 S. 5 f. ; Urk. 12 S. ff. ) .</w:t>
      </w:r>
    </w:p>
    <w:p>
      <w:r>
        <w:t>Wie unter Erwägung</w:t>
      </w:r>
    </w:p>
    <w:p>
      <w:r>
        <w:rPr>
          <w:b/>
        </w:rPr>
        <w:t>E. 6</w:t>
      </w:r>
    </w:p>
    <w:p>
      <w:r>
        <w:t>UVG werden – soweit das Gesetz nichts anderes bestimmt – die Versicherungsleistungen bei Berufsunfällen, Nichtberufsunfällen und Berufs krank heiten gewährt (Abs. 1). Der Bundesrat kann Körperschädigungen, die den Folgen eines Unfalles ähnlich sind, in die Versicherung einbeziehen (Abs. 2). Ausserdem erbringt die Versicherung ihre Leistungen bei Schädigungen, die den Verunfallten bei der Heilbehandlung zugefügt werde n (Abs. 3).</w:t>
      </w:r>
    </w:p>
    <w:p>
      <w:r>
        <w:rPr>
          <w:b/>
        </w:rPr>
        <w:t>E. 11</w:t>
      </w:r>
    </w:p>
    <w:p>
      <w:r>
        <w:t>), Integritätsentschädigung gemäss UVG, Integritätsschäden bei Funktionsstörungen bei Arthrosen (abrufbar unter www.suva. ch), ist eine Integritätsentschädigung frühestens und abhängig von ihrer Art bei Vorliegen einer mässigen Arthrose auszurichten. Für leichte Arthrosen fallen keine Entschädigungen an (S. 2 Suva-Tabelle 5).</w:t>
      </w:r>
    </w:p>
    <w:p>
      <w:r>
        <w:t>Kreisarzt Dr. B.___ ging in seiner Beurteilung vom 14. April 2016 und seiner ergänzenden Stellungnahme vom 13. Februar 2017 (Urk. 10/271) davon aus, dass kein erheblicher Integritätsschaden vorliege, da gestützt auf den bildgebenden Untersuchungsbefund vom 21. Juli 2016 (Urk. 10/ 235 S. 4 ) ein Status nach osteochondraler Läsion am medialen Femurkondylus mit Kortikalis -Irregularität, sub chon dralem Knochenmarködem, oberflächlichen Knorpeldefekten und Knorpel de la mination sowie ein Substanzverlust des Innen- und Aussenmeniskus und oberflächliche Knorpeldefekte am late ralen Femurkondylus</w:t>
      </w:r>
    </w:p>
    <w:p>
      <w:r>
        <w:t>b est ünd e n . Ein Zu stand einer mässiggradig ausgeprägten Arthrose am Knie sei bei weitem nicht erreicht (Urk. 10/271). Dies ist nicht zu beanstanden, zumal der Beschwerdeführer nicht substantiiert darlegte, wesh alb erhebliche unfallbedingte Restfolgen seine Integrität beeinträchtigten.</w:t>
      </w:r>
    </w:p>
    <w:p>
      <w:r>
        <w:t>Der Beschwerdeführer vermag keine stichhaltigen Gründe zu nennen, weshalb diese auf einer nachvollziehbaren, umfassenden medizinischen Aktenlage basierende Feststellung (vgl. vorstehend E. 4) nicht zu überzeugen vermöchte . 8.</w:t>
      </w:r>
    </w:p>
    <w:p>
      <w:r>
        <w:t>Nach dem Gesagten ist der Einspracheentscheid vom 15. Februar 2017 (Urk. 2) zu bestätigen und die Beschwerde ist abzuweisen. 9 . 9 .1</w:t>
      </w:r>
    </w:p>
    <w:p>
      <w:r>
        <w:t>Der unentgeltlichen Rechtsvertreterin des Beschwerdeführers, Rechtsanwältin Barbara Wyler , steht bei diesem Verfahrensausgang eine Entschädigung aus der Gerichtskasse zu. Mit Honorarnote vom 6. Juni 2017 (Urk. 14) machte sie einen Aufwand von insgesamt 18.49 Stunden und Auslagen von Fr. 175.60 geltend. 9.2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r>
        <w:t>Angesichts dessen, dass Rechtsanwältin Wyler den Beschwerdeführer bereits im Verwaltungsverfahren vertreten hat, erscheint der geltend gemachte Aufwand zu übersetzt. So werden wiederholt „diverse Abklärungen” verrechnet ohne Zeitan gabe, Grund und Zweck. Auch können die M emos an in ebenfalls unbekanntem Umfang keine Beachsichtigung finden .</w:t>
      </w:r>
    </w:p>
    <w:p>
      <w:r>
        <w:t>Sodann ist für Urteilsstudium sowie Be sprechung lediglich eine Stunde zu entschädigen. Vor dem Hintergrund, dass die Rechtsvertreterin den Beschwerdeführer bereits im Verwaltungsverfahren vertre ten hat , ein wesentlicher Teil der Besc hwerdeschrift die Wiedergabe der Ein s prache darstellt,</w:t>
      </w:r>
    </w:p>
    <w:p>
      <w:r>
        <w:t>und im Vergleich mit ähnlichen Fällen erscheint der Aufwand für das Verfassen der Beschwerdeschrift als zu hoch. Bei grosszügiger Betrach tung können 8 Stunden für das Verfassen der Beschwerdeschrift inklusive Gesuch um unentgeltliche Prozessführung sowie eine halbe Stunde für notwendige Korre spondenz als gerechtfertigt betrachtet werden. Ebenso drei Stunden für das Abfassen der Replik. Eine weitere Stunde Aufwand kann zudem anerkannt w erden, wenn berücksichtigt wird, dass die Rechtsvertreterin das Urteil mit dem Beschwer deführer noch zu besprechen hat. Ferner sind Auslagen in der Höhe von rund Fr. 175.60 zu berücksichtigen (Fotokopien, Porti , Telefon). Somit ist der zu ent schädigende Gesamtaufwand mit 1 2 .5 Stunden zu beziffern.</w:t>
      </w:r>
    </w:p>
    <w:p>
      <w:r>
        <w:t>Bei Anwendung des gerichtsüblichen Stundenansatzes von Fr. 220.-- (zuzüglich M ehrwertsteuer ), von dem abzuweichen keine Veranlassung besteht, ist die Ent schädigung somit auf Fr. 3‘ 1 6 0 . -- (inklusive Barauslagen und Mehrwertsteuer) festzusetzen, und Rechtsanwältin Barbara Wyler entsprechend aus der Gerichts kasse zu entschädigen.</w:t>
      </w:r>
    </w:p>
    <w:p>
      <w:r>
        <w:t>Der Beschwerdeführer ist darauf hinzuweisen, dass er diesbezüglich laut § 16</w:t>
      </w:r>
    </w:p>
    <w:p>
      <w:r>
        <w:t>Abs. 4 GSVGer zur Nachzahlung verpflichtet ist, sobald er dazu in der Lage ist. Das Gericht erkennt: 1.</w:t>
      </w:r>
    </w:p>
    <w:p>
      <w:r>
        <w:t>Die Beschwerde wird abgewiesen. 2.</w:t>
      </w:r>
    </w:p>
    <w:p>
      <w:r>
        <w:t>Das Verfahren ist kostenlos. 3.</w:t>
      </w:r>
    </w:p>
    <w:p>
      <w:r>
        <w:t>Die unentgeltliche Rechtsvertreterin des Beschwerdeführers, Rechtsanwältin Dr. Barbara Wyler, Frauenfeld, wird mit Fr. 3'1 6 0 .-- (inkl. Barauslagen und MWSt ) aus der Gerichts kasse entschädigt. Der Beschwerdeführer wird auf die Nachzahlungspflicht gemäss § 16 Abs. 4 GSVGer hingewiesen. 4.</w:t>
      </w:r>
    </w:p>
    <w:p>
      <w:r>
        <w:t>Zustellung gegen Empfangsschein an: - Rechtsanwältin Dr. Barbara Wyler - Suva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