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UV.2016.00248 vom 23. November 2016</w:t>
      </w:r>
    </w:p>
    <w:p>
      <w:r>
        <w:t>ZH Sozialversicherungsgericht, 2016-11-23, DE</w:t>
      </w:r>
    </w:p>
    <w:p>
      <w:r>
        <w:rPr>
          <w:b/>
        </w:rPr>
        <w:t xml:space="preserve">Quelle: </w:t>
      </w:r>
      <w:r>
        <w:t>https://mcp.opencaselaw.ch/entscheid/zh_sozialversicherungsgericht_UV.2016.00248</w:t>
      </w:r>
    </w:p>
    <w:p>
      <w:r>
        <w:t>FR: ZH_SOZIALVERSICHERUNGSGERICHT UV.2016.00248 du 23 novembre 2016</w:t>
      </w:r>
    </w:p>
    <w:p>
      <w:r>
        <w:t>IT: ZH_SOZIALVERSICHERUNGSGERICHT UV.2016.00248 del 23 novembre 2016</w:t>
      </w:r>
    </w:p>
    <w:p>
      <w:pPr>
        <w:pStyle w:val="Heading2"/>
      </w:pPr>
      <w:r>
        <w:t>Erwägungen</w:t>
      </w:r>
    </w:p>
    <w:p>
      <w:r>
        <w:rPr>
          <w:b/>
        </w:rPr>
        <w:t>E. 1</w:t>
      </w:r>
    </w:p>
    <w:p>
      <w:r>
        <w:t>Der 1952 geborene X.___ arbeitete bei der Y.___ und war dadurch bei der Allianz Suisse Versicherungs-Gesellschaft (Allianz) obligato risch gegen die Folgen von Unfällen versichert, als er sich am 20. November 2014 am rechten Daumen v erletzte (Unfallmeldung vom 22. Dezember 2014, und Arztzeugnis von Dr. med. Z.___ vom 8. Januar 2015, Urk. 8/7). Die Allianz kam in der Folge für Heilbehandlungskosten auf und richtete Taggeld leistungen au s (vgl. Schreiben der Allianz vom 1 4. Januar 201</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Gerichtsschreiber 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