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UV.2016.00191 vom 30. Januar 2018</w:t>
      </w:r>
    </w:p>
    <w:p>
      <w:r>
        <w:t>ZH Sozialversicherungsgericht, 2018-01-30, DE</w:t>
      </w:r>
    </w:p>
    <w:p>
      <w:r>
        <w:rPr>
          <w:b/>
        </w:rPr>
        <w:t xml:space="preserve">Quelle: </w:t>
      </w:r>
      <w:r>
        <w:t>https://mcp.opencaselaw.ch/entscheid/zh_sozialversicherungsgericht_UV.2016.00191</w:t>
      </w:r>
    </w:p>
    <w:p>
      <w:r>
        <w:t>FR: ZH_SOZIALVERSICHERUNGSGERICHT UV.2016.00191 du 30 janvier 2018</w:t>
      </w:r>
    </w:p>
    <w:p>
      <w:r>
        <w:t>IT: ZH_SOZIALVERSICHERUNGSGERICHT UV.2016.00191 del 30 gennaio 2018</w:t>
      </w:r>
    </w:p>
    <w:p>
      <w:pPr>
        <w:pStyle w:val="Heading2"/>
      </w:pPr>
      <w:r>
        <w:t>Erwägungen</w:t>
      </w:r>
    </w:p>
    <w:p>
      <w:r>
        <w:rPr>
          <w:b/>
        </w:rPr>
        <w:t>E. 1</w:t>
      </w:r>
    </w:p>
    <w:p>
      <w:r>
        <w:t>Der 1956 geborene X.___ war nach einer Ausbildung zum Hoch bauzeichner und zum Maurer ab 1980 bei verschiedenen Arbeitgebern als Polier tätig (Urk. 6/23 und Urk. 6/86 /12-14 ). Seit 1. März 2012 war er arbeitslos und bei der Suva gegen die Folgen von Unfällen versichert. Mit Schadenmeldung UVG vom</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1 5. Juni 2012 ereignet, weshalb die bis 31. Dezember 2016 gültig gewesenen Normen auf den vorliegenden Fall Anwendung finden und in dieser Fassung zitiert werden.</w:t>
      </w:r>
    </w:p>
    <w:p>
      <w:r>
        <w:rPr>
          <w:b/>
        </w:rPr>
        <w:t>E. 1.2</w:t>
      </w:r>
    </w:p>
    <w:p>
      <w:r>
        <w:t>Nach Gesetz und Rechtsprechung ist der Fall unter Einstellung der vorüberge hen den Leistungen und Prüfung des Anspruchs auf eine Invaliden rente und ei ne Integritätsentschädigung abzuschliessen, wenn von der Fortset zung der ärzt 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rPr>
          <w:b/>
        </w:rPr>
        <w:t>E. 2</w:t>
      </w:r>
    </w:p>
    <w:p>
      <w:r>
        <w:t>9. Juni 2012 liess er der Suva</w:t>
      </w:r>
    </w:p>
    <w:p>
      <w:r>
        <w:t>mitteilen, dass er sich am 1 5. Juni 2012 durch einen zersplitternden Schleifstein eine Verletzung an der linken Mittelhand zugezogen habe (Urk. 6/2/1 ). Die erstbehandelnden Ärzte des Y.___ s tellte n als vorläufige Diagnose unter anderem eine II. gradig offene Trümmerfraktur im distalen Bereich der Metacarpale III Hand links und eine komplexe polyfragmentäre Fraktur Grundphalanx Dig . II links mit intrafrag mentärer Fraktur Metacarpale II und verschiedenen Weichteilverletzungen (Be richt vom 1 8. Juni 2012 , Urk. 6/ 2/3 f. ).</w:t>
      </w:r>
    </w:p>
    <w:p>
      <w:r>
        <w:t>Die Suva erbrachte die gesetzlichen Leistungen (Heilbehandlung und Taggeld; Urk. 6/7 ).</w:t>
      </w:r>
    </w:p>
    <w:p>
      <w:r>
        <w:t>Mit Mitteilung vom 2 4. September 2014 und Verfügung vom 3. Dezember 2015</w:t>
      </w:r>
    </w:p>
    <w:p>
      <w:r>
        <w:t>schloss die Suva den Fall per</w:t>
      </w:r>
    </w:p>
    <w:p>
      <w:r>
        <w:rPr>
          <w:b/>
        </w:rPr>
        <w:t>E. 2.1</w:t>
      </w:r>
    </w:p>
    <w:p>
      <w:r>
        <w:t>Die Beschwerdegegnerin begründete ihren Einspracheentscheid ( Urk. 2) damit, dass</w:t>
      </w:r>
    </w:p>
    <w:p>
      <w:r>
        <w:t>bereits im Zeitpunkt der kreisärztlichen Untersuchung vom 1 8. August 2014 ein Endzustand vorgelegen habe. Per 1. Januar 2015 sei deshalb die Ren tenprüfung vorgenommen worden (S. 6 f.). Der Beschwerdeführer sei in einer angepassten Tätigkeit zu 100 % arbeitsfähig. Zur Berechnung des Invalidenein kommens sei auf die vom Bundesamt für Statistik herausgegebenen Lohnstruk turerhebungen</w:t>
      </w:r>
    </w:p>
    <w:p>
      <w:r>
        <w:t>( LSE ) abzustellen. Unter Berücksichtigung eines Leidensabzugs von 15 % ergebe sich ein Invaliditätsgrad von 25 %</w:t>
      </w:r>
    </w:p>
    <w:p>
      <w:r>
        <w:t>(S. 7 -9 ). Bei der Beurtei lung des Integritätsschadens sei berücksichtigt worden, dass auch sein Ring- und Kleinfinger von einer erheblichen Funktionseinschränkung betroffen sei en . Es sei damit gerechtfertigt, die Integritätseinbusse auf 15 % festzulegen (S. 11). Die Einholung eines handchirurgischen Gutachtens erweise sich nicht als notwendig (S. 11 f.).</w:t>
      </w:r>
    </w:p>
    <w:p>
      <w:r>
        <w:t>In ihrer Beschwerdeantwort ( Urk. 5 ) hielt sie ergänzend fest, der Beschwerde führer sei gelernter Hochbauzeichner und Maurer. Er sei nicht mit einem funk tionell Einarmigen zu vergleichen. Aufgrund seiner Ausbildung und seiner voll zeitigen Einsetzbarkeit in einer angepassten Tätigkeit ständen ihm genügend re alistische Betätigungsmöglichkeiten offen. Der gewährte Leidensabzug von 15 % sei deshalb sachgerecht. Sein Alter sei kein Grund, ihm k einen Stellen wechsel zuzumuten, zumal er zum Unfallzeitpunkt ohnehin Arbeitslosentaggel der bezogen und eine andere Tätigkeit gesucht habe (S. 5).</w:t>
      </w:r>
    </w:p>
    <w:p>
      <w:r>
        <w:rPr>
          <w:b/>
        </w:rPr>
        <w:t>E. 2.2</w:t>
      </w:r>
    </w:p>
    <w:p>
      <w:r>
        <w:t>Der Beschwerdeführer stellte sich demgegenüber auf den Standpunkt ( Urk. 1),</w:t>
      </w:r>
    </w:p>
    <w:p>
      <w:r>
        <w:t>bezüglich des Integritätsschadens beschlage die vom Kreisarzt verwendete Ta belle lediglich den Zeige- und Mittelfinger. Da jedoch der Ring- und Kleinfinger von der Funktionseinschränkung zusätzlich betroffen seien, rechtfertige sich ein Integritätsschaden von 20 % (S. 5). Das vom Kreisarzt festgestellte Zumutbar keitsprofil mit der daraus fliessenden leidensangepassten Arbeitsfähigkeit sei unrichtig . Zumindest impliziere er eine Nicht- Einsatzfähigkeit der linken Hand in jeglicher Tätigkeit, eine 100%ige Arbeitsfähigkeit in einer angepassten Tätig keit sei deshalb illusorisch. Aufgrund der unvollständig erhobenen medizini schen Sachlage insbesondere bei der Feststellung der Arbeitsunfähigkeit dränge sich eine unabhängige handchirurgische Abklärung auf (S. 5-9). Die erhöhte Verantwortung, die er vor dem Unfall als Polier getragen habe, wirke sich nun kurz vor Erreichung des 60. Altersjahres nicht mehr in positiver Weise aus. Auch aus diesem Grunde werde das Invalideneinkommen bestritten (S. 8). 3.</w:t>
      </w:r>
    </w:p>
    <w:p>
      <w:r>
        <w:rPr>
          <w:b/>
        </w:rPr>
        <w:t>E. 3</w:t>
      </w:r>
    </w:p>
    <w:p>
      <w:r>
        <w:t>1. Dezember 2014 ab und sprach dem Versicher ten ab 1. Januar 2015 eine Invalidenrente auf der Basis einer Erwerbsunfähig keit von 24 % und eines versicherten Jahresverdienstes von Fr.</w:t>
      </w:r>
    </w:p>
    <w:p>
      <w:r>
        <w:t>85‘176.-- sowie eine Integritätsentschädigung bei einer Integritätseinbusse von 15 % zu ( Urk. 6/154 und Urk. 6/199) . Die vom Versicherten gegen diesen Entscheid er hobene Einsprache vom 6. Januar 2016 (Urk. 6/203 ) hiess die Suva am 3. August 2016 teilweise gut und erhöhte den Invaliditätsgrad auf 25 % . Im Üb rigen wies sie die Einsprache</w:t>
      </w:r>
    </w:p>
    <w:p>
      <w:r>
        <w:t>ab (Urk. 2). 2.</w:t>
      </w:r>
    </w:p>
    <w:p>
      <w:r>
        <w:t>Dagegen erhob der Versicherte am 7. September 2016 Beschwerde ( Urk. 1) und beantragte, der</w:t>
      </w:r>
    </w:p>
    <w:p>
      <w:r>
        <w:t>angefochtene Einspracheentscheid sei aufzuheben und es sei die ihm zugesprochene Invalidenrente von 25 % angemessen zu erhöhen. Zudem sei die ihm zugesprochene Integritätsentschädigung ausgehend von einer 20%igen Integritätseinbusse zu erhöhen. Eventualiter sei en ein handchirurgi sches sowie ein arbeitsmedizinisches Gutachten durch die Vorinstanz zu veran lassen .</w:t>
      </w:r>
    </w:p>
    <w:p>
      <w:r>
        <w:t>Am 1 7. Oktober 2016 (Urk.</w:t>
      </w:r>
    </w:p>
    <w:p>
      <w:r>
        <w:rPr>
          <w:b/>
        </w:rPr>
        <w:t>E. 3.1</w:t>
      </w:r>
    </w:p>
    <w:p>
      <w:r>
        <w:t>Die erstbehandelnden Dr. med. Z.___ , Chefarzt Chirurgie, Dr. med. A.___ , leitender Arzt Chirurgie, und pract . med. B.___ , Assistenzärztin Chirurgie, vom Y.___ , hielten in ihrem Bericht vom 1 8. Juni 2012 ( Urk. 6/2/3 f.) folgende Diagnosen fest: - II. gradig offene Trümmerfraktur im distalen Bereich der Metacarpale III Hand links mit komplexer Weichteilverletzung dorso -radialseits Metacar pophalangealgelenk</w:t>
      </w:r>
    </w:p>
    <w:p>
      <w:r>
        <w:t>Dig . III links - Komplexe polyfragmentäre Fraktur Grundphalanx Dig . II links mit po lyfragmentärer intrafragmentärer Fraktur Metacarpale II am Metacar pophalangealgelenk mit begleitender schwerer Weichteilverletzung dorso -radialseits entlang des zweiten Fingers und Metacarpale II</w:t>
      </w:r>
    </w:p>
    <w:p>
      <w:r>
        <w:rPr>
          <w:b/>
        </w:rPr>
        <w:t>E. 3.2</w:t>
      </w:r>
    </w:p>
    <w:p>
      <w:r>
        <w:t>und 8C_808/2013 vom 14. Februar 2014 E. 7.1.1 mit Hinweisen).</w:t>
      </w:r>
    </w:p>
    <w:p>
      <w:r>
        <w:t>Der Beschwerdeführer kann seine linke Hand nur noch für leichte Hilfsfunktio nen ohne Grob- und Feingriff einsetzen und dürfte deshalb das durchschnittli che Lohnniveau gesunder Hilfsarbeiter nicht mehr erreichen. Die Beschwerde gegnerin gewährte ihm deshalb einen Leidensabzug von 15 % ( Urk. 2 S. 9) . Nachdem selbst bei - anders als dem Beschwerdeführer - funktionell einarmigen Versicherten nicht zwingend ein leidensbedingter Abzug von 25 % zu gewähren ist (vgl. Urteil des Bundesgerichts 8C_94/2012 vom 2 9. März 2012 E. 3.2) und keine zusätzlichen Merkmale ersichtlich sind, welche einen Tabellenlohnabzug rechtfertigen würden, besteht kein Anlass, in das diesbezügliche Ermessen der Beschwerdegegnerin einzugreifen. 6.3</w:t>
      </w:r>
    </w:p>
    <w:p>
      <w:r>
        <w:t>Der Vergleich des Valideneinkommens von Fr. 73 ‘ 820 . 30 mit dem Invalidenein kommen von Fr. 56‘637.80 (Fr. 66‘632.70 x 0.85) ergibt einen Invaliditätsgrad von 2 3 % statt dem von der Beschwerdegegnerin berechneten von 25 % . Recht sprechungsgemäss sind im Beschwerdeverfahren die Voraussetzungen an eine reformatio in peius - in Anlehnung an die Wiedererwägung nach Art. 53 Abs. 2 des Bundesgesetzes über den Allgemeinen Teil des Sozialversicherungsrechts (ATSG) – streng, es ist zurückhaltend davon Gebrauch zu machen und diese ist auf Fälle mit offensichtlicher Unrichtigkeit und erheblichem Korrekturbedarf zu beschränken (vgl. BGE 142 V 337 E. 3.1 ; vgl. auch BGE 143 V 168 E. 4.2). Die Differenz des Invaliditätsgrades von 2 % rechtfertigt keine Abänderung des an gefochtenen Entscheids zum Nachteil des Beschwerdeführers. Die Be schwerde ist diesbezüglich abzuweisen . 7 .</w:t>
      </w:r>
    </w:p>
    <w:p>
      <w:r>
        <w:t>Die Beschwerdegegnerin sprach dem Beschwerdeführer eine Integritätsentschä digung gestützt auf eine Integritätseinbusse von 15 % zu , wohingegen der Be schwerdeführer von einer Einbusse von 20 % ausgeht. 7 . 1 7 .1.1</w:t>
      </w:r>
    </w:p>
    <w:p>
      <w:r>
        <w:t>Nach Art. 24 Abs. 1 UVG hat die versicherte Person Anspruch auf eine ange messene Integritätsentschädigung, wenn sie durch den Unfall eine dauernde er hebliche Schädigung der körperlichen, geistigen oder psychischen Integrität er 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 fang be 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 gritätsschäden aus einem oder mehreren Unfällen zusammen, so wird die Integritätsentschädigung nach der gesamten Beeinträchtigung fest gesetzt (Abs. 3). 7 .1.2</w:t>
      </w:r>
    </w:p>
    <w:p>
      <w:r>
        <w:t>Im Anhang 3 zur UVV hat der Bundesrat Richtlinien für die Bemessung der In 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 fall dem an gegebenen Prozentsatz des Höchstbetrages des versicherten Ver dienstes (Ziff. 1 Abs. 1). Die Entschädigung für spezielle oder nicht aufge führte Integritätsschä den wird nach dem Grad der Schwere vom Skalenwert abgeleitet (Ziff. 1 Abs. 2). Integritätsschäden, die gemäss der Skala 5 % nicht erreichen, geben keinen Anspruch auf Entschädigung (Ziff. 1 Abs. 3). Die völlige Gebrauchsunfä higkeit eines Organs wird dem Verlust gleichgestellt; bei teilweisem Verlust und teilweiser Gebrauchsunfähigkeit wird der Integri täts schaden entsprechend ge ringer, wobei die Entschädigung jedoch ganz entfällt, wenn der Integritätsscha den weniger als 5 % des Höchstbetrages des versicherten Verdienstes ergäbe (Ziff. 2). 7 .1.3</w:t>
      </w:r>
    </w:p>
    <w:p>
      <w:r>
        <w:t>Die Medizinische Abteilung der Suva hat in Weiterentwicklung der bundes rätlichen Skala weitere Bemessungsgrundlagen in tabellarischer Form (sog. Feinraster) erarbeitet. Diese von der Verwaltung herausgegebenen Tabellen stel len zwar keine Rechtssätze dar und sind für die Parteien nicht verbind lich, um so mehr als Ziff. 1 von Anhang 3 zur UVV bestimmt, dass der in der Skala an gegebene Prozentsatz des Integritätsschadens für den «Regelfall» gilt, welcher im Einzelfall Abweichungen nach unten wie nach oben ermöglicht. Soweit sie jedoch lediglich Richtwerte enthalten, mit denen die Gleichbe hand lung aller Versicherten gewährleistet werden soll, sind sie mit dem Anhang 3 zur UVV vereinbar (BGE 124 V 29 E. 1c, 116 V 156 E. 3a). 7 .2</w:t>
      </w:r>
    </w:p>
    <w:p>
      <w:r>
        <w:t>Der Beschwerdeführer machte einen Integritätsschaden von 20 % geltend mit der Begründung, die vom Kreisarzt verwendete Tabelle betreffe lediglich den Zeige- und Mittelfinger. Bei ihm sei jedoch zusätzlich die Funktion des Ring- und Kleinfingers eingeschränkt, weshalb sich ein Integritätsschaden von 20 % rechtfertige. Hierzu ist festzuhalten, dass die Finger des Beschwerdeführers am 1 8. März 2014 erneut operiert wurden. Vor der Operation wurden die unverletz ten , aber miteingesteifte n Ring- und Kleinfinger als weitgehend frei beweglich bezeichnet ( Urk. 6/124 S. 1 ; vgl. auch Urk. 6/73/3, Urk. 6/76/1 ). Es finden sich keine Hinweise, dass sich die diesbezügliche Situation durch die Operation ver schlechtert hätte. Die Beweglichkeit des Mittelfingers konnte durch die Operati on verbessert werden, nicht aber diejenige des Zeigefingers (so etwa Urk. 6/145/3). Gemäss Kreisarzt Dr. F.___ entspr icht die Situation einem voll ständigen Verlust des Zeigefingers, beim Mittelfinger sei sie besser als ein ei gentlicher Verlust. Es bestünden jedoch zusätzlich Funktionseinschränkungen von Ring- und Kleinfinger, welche diese Verbesserung kompensieren würden</w:t>
      </w:r>
    </w:p>
    <w:p>
      <w:r>
        <w:t>(E. 3.4 hievor ). Ebenso wie die Feinrastertabelle 3 Darstellung 28, welche bei einem vollständigen Verlust von Zeige- und Mittelfinger anwendbar ist, ging er von einem Integritätsschaden von 15 % aus.</w:t>
      </w:r>
    </w:p>
    <w:p>
      <w:r>
        <w:t>Dies ist nicht zu beanstanden, nachdem der Zustand des Mittelfingers nicht ei nem vollständigen Verlust gleichkommt und die (verhältnismässig geringen) Funktionseinschränkungen des Ring- und Kleinfingers - entgegen der Ansicht des Beschwerdeführers - ebenfalls berücksichtigt wurden. Zudem liegt unbestrit tenermassen keine dem Kreisarzt widersprechende ärztliche Beurteilung der In tegritätseinbusse vor. Es besteht damit kein Anlass, die kreisärztliche Beurtei lung in Frage zu stellen.</w:t>
      </w:r>
    </w:p>
    <w:p>
      <w:r>
        <w:t>Die Beschwerde ist auch diesbezüglich abzuweisen.</w:t>
      </w:r>
    </w:p>
    <w:p>
      <w:r>
        <w:t>Das Gericht erkennt: 1.</w:t>
      </w:r>
    </w:p>
    <w:p>
      <w:r>
        <w:t>Die Beschwerde wird abgewiesen . 2.</w:t>
      </w:r>
    </w:p>
    <w:p>
      <w:r>
        <w:t>Das Verfahren ist kostenlos. 3.</w:t>
      </w:r>
    </w:p>
    <w:p>
      <w:r>
        <w:t>Zustellung gegen Empfangsschein an: - Rechtsanw alt Dr. Daniel Richter - Suva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3.3</w:t>
      </w:r>
    </w:p>
    <w:p>
      <w:r>
        <w:t>Prof. Dr. C.___ und Dr. med. E.___ , Assistenzarzt Orthopädie, von der D.___ hielten in ihrem Bericht vom 1 1. Juli 2014 ( Urk. 6/145/2 f.) fest, der Verlauf zeige sich zunehmend verbessert vier Monate postoperativ mit verbes serter Beweglichkeit des dritten Strahles. Der zweite Strahl zeige insbesondere hinsichtlich der aktiven Streckung nur eine geringe Besserungstendenz. In zwei Monaten sei eine Abschlusskontrolle geplant, wobei intensiv die ergotherapeuti schen Massnahmen sowie die Heimbeübung weiterzuführen seien. Eine Arbeits unfähigkeit zu 100 % sei bis zum 6. Oktober 2014 ausgestellt worden. Die linke Hand sei mit hoher Wahrscheinlichkeit im angestammten Beruf als Polier nicht mehr einsatzfähig (S. 2).</w:t>
      </w:r>
    </w:p>
    <w:p>
      <w:r>
        <w:rPr>
          <w:b/>
        </w:rPr>
        <w:t>E. 3.4</w:t>
      </w:r>
    </w:p>
    <w:p>
      <w:r>
        <w:t>hievor ). Sein Bericht erscheint als schlüssig, wurde nachvollziehbar begründet und ist in sich widerspruchsfrei.</w:t>
      </w:r>
    </w:p>
    <w:p>
      <w:r>
        <w:rPr>
          <w:b/>
        </w:rPr>
        <w:t>E. 3.5</w:t>
      </w:r>
    </w:p>
    <w:p>
      <w:r>
        <w:t>Prof. Dr. C.___ und Dr. med. H.___ , Assistenzärztin Orthopädie, von der D.___ führten in ihrem Bericht vom 2 4. September 2015 (Urk. 6/190) aus, gut ein Jahr seit der letzten Verlaufskontrolle zeige sich ein stationäres Be schwerdebild mit tagesabhängig minimalen Schwankungen. Der Beschwerde führer sei weiterhin nicht arbeitsfähig in seinem angestammten Beruf als Polier. Eine Umschulung sei nicht sinnvoll, da er kurz vor der Rente stehe. Bei weitest gehend stationärem Befund werde die Behandlung heute abgeschlossen (S. 2). 4.</w:t>
      </w:r>
    </w:p>
    <w:p>
      <w:r>
        <w:t>Die Beschwerdegegnerin schloss den Fall zu Recht per 1. Januar 2015 ab, nach dem bereits im Zeitpunkt der kreisärztlichen Untersuchung vom 1 8. August 2014 ein Endzustand vorgelegen hat te (vgl.</w:t>
      </w:r>
    </w:p>
    <w:p>
      <w:r>
        <w:rPr>
          <w:b/>
        </w:rPr>
        <w:t>E. 5</w:t>
      </w:r>
    </w:p>
    <w:p>
      <w:r>
        <w:t>) beantragte die Suva</w:t>
      </w:r>
    </w:p>
    <w:p>
      <w:r>
        <w:t>die Abweisung der Beschwerde, was dem Beschwerdeführer mit Verfügung vom 2 4. Oktober 2016 zur Kenntnis gebracht wurde (Urk.</w:t>
      </w:r>
    </w:p>
    <w:p>
      <w:r>
        <w:rPr>
          <w:b/>
        </w:rPr>
        <w:t>E. 5.2</w:t>
      </w:r>
    </w:p>
    <w:p>
      <w:r>
        <w:t>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5.3</w:t>
      </w:r>
    </w:p>
    <w:p>
      <w:r>
        <w:t>Die kreisärztliche Untersuchung fand rund vier Monate vor dem Rentenbeginn am</w:t>
      </w:r>
    </w:p>
    <w:p>
      <w:r>
        <w:t>1. Januar 2015 statt. Von einem veralteten Kreisarztbericht kann damit nicht die Rede sein. Dass die rentenzu sprechende Verfügung erst am 3. Dezember 2015 erlassen wurde, ändert daran nichts. Dies umso weniger , als weder ersichtlich ist noch geltend gemacht wurde, dass sich der Gesundheitszu stand des Beschwerdeführers in diesem Zeitraum verändert hätte. Vielmehr sprach der behandelnde Prof. Dr. C.___ am 2 4. September 2015 von einem sta tionären Beschwerdebild (E. 3.5 hievor ).</w:t>
      </w:r>
    </w:p>
    <w:p>
      <w:r>
        <w:rPr>
          <w:b/>
        </w:rPr>
        <w:t>E. 5.4</w:t>
      </w:r>
    </w:p>
    <w:p>
      <w:r>
        <w:t>Der Beschwerdeführer sieht sich als nicht mehr arbeitsfähig, da er seine linke Hand nicht mehr einsetzen könne. Gemäss bundesgerichtlicher Rechtsprechung stellen zwar die faktische Einhändigkeit oder die Beschränkung der dominanten Hand als Zudienhand Tatbestände einer erheblich erschwerten Verwertbarkeit der Arbeitsfähigkeit auch in Bezug auf den zu unterstellenden, ausgeglichen en Arbeitsmarkt dar. Dennoch bestätigte das Bundesgericht wiederholt, dass auf dem ausgeglichenen Arbeitsmarkt genügend realistische Betätigungsmöglich keiten für Personen, die funktionell als Einarmige zu betrachten sind und über dies nur noch leichte Arbeiten verrichten können, zu finden sind. Längst nicht alle im Arbeitsprozess im weitesten Sinne notwendigen Aufgaben und Funktio nen im Rahmen der Überwachung und Prüfung werden durch Computer und automatisierte Maschinen ausgeführt. Abgesehen davon müssen solche Geräte auch bedient und ihr Einsatz ebenfalls überwacht und kontrolliert werden. Zu denken ist an einfache Überwachungs-, Prüf- und Kontrolltätigkeiten sowie an die Bedienung von (halb-) automatischen Maschinen oder Produktionseinheiten, die keinen Einsatz des nicht mehr funktionstüchtigen Armes oder der nicht mehr einsetzbaren Hand voraussetzen (Urteil des Bundesgerichts 8C_ 217/2015 vom 2 8. August 2015 E. 2.2.1).</w:t>
      </w:r>
    </w:p>
    <w:p>
      <w:r>
        <w:t>Der Beschwerdeführer kann seine adominante linke Hand noch als Hilfshand einsetzen (E. 3.4 hievor ) . Nachdem selbst funktionell Einarmige ihre Arbeitsfä higkeit auf dem ausgeglichenen Arbeitsmarkt verwerten können, hat dies für den Beschwerdeführer umso mehr zu gelten. Er vermag die seiner Ansicht nach bestehende 100%ige Arbeitsunfähigkeit in jeglicher Tätigkeit denn auch nicht durch einen fachärztlichen Bericht zu stützen. D er behandelnde Prof. Dr. C.___ äusserte sich lediglich zur Arbeitsfähigkeit in der angestammten Tätigkeit als Polier, nicht jedoch zu einer den Beschwerden angepassten Tätigkeit. Eine Um schulung erachtete Prof. Dr. C.___ lediglich aufgrund des Alters des Beschwer deführers nicht als sinnvoll, nicht jedoch wegen seines Gesundheitszustandes</w:t>
      </w:r>
    </w:p>
    <w:p>
      <w:r>
        <w:t>(E. 3.5 hievor ).</w:t>
      </w:r>
    </w:p>
    <w:p>
      <w:r>
        <w:t>Die Beeinträchtigungen des Beschwerdeführer s stehen einer 100%igen Arbeitsfähigkeit in einer angepassten Tätigkeit damit nicht entgegen.</w:t>
      </w:r>
    </w:p>
    <w:p>
      <w:r>
        <w:t>Der Tatsache, dass er aufgrund seiner Beschwerden das durchschnittliche Lohn niveau gesunder Hilfsarbeiter nicht mehr erreichen dürfte, wird im Rahmen der Ermittlung des Invalideneinkommens (vgl. dazu nachfolgende E. 6.2) Rechnung zu tragen sein. 5. 5</w:t>
      </w:r>
    </w:p>
    <w:p>
      <w:r>
        <w:t>Zusammenfassend bestehen keine Zweifel an der Zuverlässigkeit</w:t>
      </w:r>
    </w:p>
    <w:p>
      <w:r>
        <w:t>de s Bericht s</w:t>
      </w:r>
    </w:p>
    <w:p>
      <w:r>
        <w:t>von Kreisarzt Dr. F.___</w:t>
      </w:r>
    </w:p>
    <w:p>
      <w:r>
        <w:t>und es kommt diesem voller Beweiswert zu . Von einer Rückweisung der Sache zur weiteren medizinischen Abklärung - wie vom Be schwerdeführer beantragt - sind keine zusätzlichen Erkenntnisse zu erwarten, weshalb darauf in antizipierter Beweiswürdigung ( vgl. BGE 122 V 157 E. 1d mit Hinweisen) verzichtet wird. 5. 6</w:t>
      </w:r>
    </w:p>
    <w:p>
      <w:r>
        <w:t>Soweit der Beschwerdeführer geltend machte , sein fortgeschrittenes Alter ver hindere die Verwertbarkeit der (100%igen) Restarbeitsfähigkeit, ist festzuhalten, dass das vorgerückte Alter bei der Beurteilung der Zumutbarkeit eines Stellen wechsels im Bereiche der Unfallversicherung nicht zu berücksichtigen ist (Urteil des Bundesgerichts 8C_806/2012 vom 1 2. Februar 2013 E. 5.2.2). Ebenso wenig anwendbar ist jedoch vorliegend Art. 28 Abs. 4 UVV, nachdem der Beschwerde führer im diesbezüglich massgebenden (vgl. BGE 138 V 457 E. 3.3) Zeitpunkt der Arbeitsfähigkeitseinschätzung durch den Kreisarzt am 1 8. August 2014 knapp 58 Jahre alt, mithin noch nicht im vorgerückten Alter im Sinne von Art. 28 Abs. 4 UVV war. Denn v on einem solchen geht die Rechtsprechung erst ab einem Alter von rund 60 Jahren aus (Urteil des Bundesgerichts 8C_307/2017 vom 2 6. September 2017 E. 4.2.2). 6.</w:t>
      </w:r>
    </w:p>
    <w:p>
      <w:r>
        <w:t>Zu prüfen bleibt, wie sich das Leistungsvermögen des Beschwerdeführers in wirtschaftlicher Hinsicht auswirkt. 6.1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 kommensdifferenz der Invaliditätsgrad bestimmen lässt (BGE 130 V 34 3 E. 3.4.2). Für die Ermitt lung des Valideneinkommens , also des Einkommens, welches die versicherte Person nach dem Beweisgrad der überwiegenden Wahrscheinlichkeit als Gesun de tatsächlich verdient hätte, wird in der Regel am zuletzt erzielten Verdienst angeknüpft.</w:t>
      </w:r>
    </w:p>
    <w:p>
      <w:r>
        <w:t>Im Zeitpunkt des Unfalls war das Arbeitsverhältnis des arbeitslosen Beschwer deführers bereits aus unfallfremden Gründen aufgelöst worden, so dass nicht mit überwiegender Wahrscheinlichkeit davon auszugehen ist, dass er bei Ren tenbeginn weiterhin für seine ehemalige Arbeitgeberin tätig gewesen wäre. Das Valideneinkommen</w:t>
      </w:r>
    </w:p>
    <w:p>
      <w:r>
        <w:t>ist deshalb gestützt auf die LSE festzustellen und beträgt per 201 5 Fr. 7 3 ‘8 20 . 3 0 (LSE 2014, TA1, Ziff. 41-43 Baugewerbe, Kompetenzniveau 2, Männer: Fr. 5‘ 885 .--, aufgerechnet auf die betriebsübliche Arbeitszeit von 41. 7 Stunden im Hoch- und Tiefbau 201 5 [Betriebsübliche Arbeitszeit, Bundes amt für Statistik, T 03.02.03.01.04.01] sowie auf das Jahr 2015 [von Index 2220 auf Index 2226, Entwicklung der Nominallöhne, Bundesamt für Statistik, T39, Männer] ) . Die Beschwerdegegnerin berechnete ein Valideneinkommen von Fr. 80‘191.95 per 2015 (Urk. 6/ 198-199 ), welches sich auf die Angaben der ehemaligen Arbeitgeberin stützte (vgl. Urk. 6/173), was nach dem Gesagten nicht zulässig ist . 6.2 6.2 .1</w:t>
      </w:r>
    </w:p>
    <w:p>
      <w:r>
        <w:t>Nachdem die Beschwerdegegnerin das Invalideneinkommen verfügungsweise gestützt auf DAP-Zahlen ermittelt hatte ( Urk. 6/199 S. 2), stützte sie sich im an gefochtenen Einspracheentscheid auf die LSE ( Urk. 2). Rechtsprechungsgemäss kann die Suva nicht frei wählen , ob sie das Invalideneinkommen nach der DAP-Methode oder anhand der Tabellenlöhne der LSE bemisst; vielmehr hat sie die DAP-Methode stets dann zur Anwendung zu bringen, wenn sie im Einzelfall die bundesgerichtlichen Vorgaben einhalten kann (Urteil des Bundesgerichts 8C_378/2017 vom 29. November 2017 E. 4.5 ). Der Beschwerdeführer bestritt in der Einsprache die Zumutbarkeit sämtlicher DAP-Profile ( Urk. 6/209 S. 2-3), welcher Beurteilung die Beschwerdegegnerin im angefochtenen Entscheid bei pflichtete ( Urk. 2 S. 8).</w:t>
      </w:r>
    </w:p>
    <w:p>
      <w:r>
        <w:t>Die Ermittlung des Invalideneinkommens mittels LSE ist unter diesen Umstän den nicht zu beanstanden.</w:t>
      </w:r>
    </w:p>
    <w:p>
      <w:r>
        <w:t>Dem Beschwerdeführer ist seine angestammte Tätigkeit als Polier unfallbedingt nicht mehr zumutbar. Mit Blick auf seine gesundheitlichen Beschwerden kommt auch eine andere Fachtätigkeit im Baugewerbe realistischerweise nicht mehr in Frage. In anderen Berufszweigen verfügt er über keine Fachkenntnisse, weshalb nicht das Kompetenzniveau 2 heranzuziehen, sondern auf den Zentralwert der Löhne von Männern mit einfachen Tätigkeiten körperlicher oder handwerklicher Art (Kompetenzniveau 1) über alle Wirtschaftssektoren abzustellen ist. Dass der Beschwerdeführer eine Lehre als Zeichner und Maurer absolvierte und als Polier eine nicht unerhebliche Verantwortung hatte, ändert nichts daran, da er in die sen Tätigkeit en nicht mehr arbeitsfähig ist.</w:t>
      </w:r>
    </w:p>
    <w:p>
      <w:r>
        <w:t>Nach der LSE 2014 betrug dieser Lohn Fr. 5‘312.--, was aufgerechnet auf die betriebsübliche Arbeitszeit von 41.7 Stunden (T 03.02.03.01.04.01, Total) per 2015 (von Index 2220 auf Index 2226, T39, Männer) einen Jahreslohn von Fr. 66‘632.70 ergibt. 6.2 .2</w:t>
      </w:r>
    </w:p>
    <w:p>
      <w:r>
        <w:t>Wird das Invalideneinkommen auf der Grundlage von statistischen Durch schnittswerten ermittelt, ist der entsprechende Ausgangswert (Tabellenlohn) al 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w:t>
      </w:r>
    </w:p>
    <w:p>
      <w:r>
        <w:rPr>
          <w:b/>
        </w:rPr>
        <w:t>E. 8</w:t>
      </w:r>
    </w:p>
    <w:p>
      <w:r>
        <w:t>). 3.</w:t>
      </w:r>
    </w:p>
    <w:p>
      <w:r>
        <w:t>Die Sozialversicherungsanstalt des Kantons Zürich, IV-Stelle, hatte dem Versi cherten mit Verfügung vom 7. Juli 2016 eine vom 1. Juli 201 3 bis 3 1 . Dezember 2014 befristete ganze Rente der Invalidenversicherung zugesprochen (Urk. 6/213 ). Die dagegen erhobene Beschwerde wurde mit Urteil des hiesigen Gerichts vom heutigen Datum abgewiesen (Prozess Nr. IV.2016.00 836 ). Das Gericht zieht in Erwägung: 1.</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 1. 3</w:t>
      </w:r>
    </w:p>
    <w:p>
      <w:r>
        <w:t>Den</w:t>
      </w:r>
    </w:p>
    <w:p>
      <w:r>
        <w:t>Berichten und Gutachten versicherungsinterner Ärztinnen und Ärzte kommt nach der Rechtsprechung Beweiswert zu, sofern sie als schlüssig er scheinen, nachvollziehbar begründet sowie in sich widerspruchsfrei sind und keine Indizien gegen ihre Zuverlässigkeit bestehen (BGE 134 V 231 E. 5.1 mit Hinweis auf BGE 125 V 351 E. 3b/ bb / ee ). Trotz dieser grundsätzlichen Be weiseignung kommt den Berichten versicherungsinterner medizinischer Fach personen praxisgemäss nicht dieselbe Beweiskraft zu wie einem gerichtlichen oder im Verfahren nach Art. 44 ATSG vom Versicherungsträger veranlassten Gutachten unabhängiger Sachverständiger. Soll ein Versicherungsfall ohne Ein holung eines externen Gutachtens entschieden werden, so sind an die Beweis würdigung strenge Anforderungen zu stellen. Bestehen auch nur geringe Zwei fel an der Zuverlässigkeit und Schlüssigkeit der versicherungsinternen ärztli chen Feststellungen, so sind ergänzende Abklärungen vorzunehmen (BGE 139 V 225 E. 5.2; BGE 135 V 465 E. 4.4 mit Hinweisen; Urteil des Bundesgerichts 8C_348/2016 vom 9. Dezember 2016 E. 2.4).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