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UV.2016.00190 vom 8. November 2017</w:t>
      </w:r>
    </w:p>
    <w:p>
      <w:r>
        <w:t>ZH Sozialversicherungsgericht, 2017-11-08, DE</w:t>
      </w:r>
    </w:p>
    <w:p>
      <w:r>
        <w:rPr>
          <w:b/>
        </w:rPr>
        <w:t xml:space="preserve">Quelle: </w:t>
      </w:r>
      <w:r>
        <w:t>https://mcp.opencaselaw.ch/entscheid/zh_sozialversicherungsgericht_UV.2016.00190</w:t>
      </w:r>
    </w:p>
    <w:p>
      <w:r>
        <w:t>FR: ZH_SOZIALVERSICHERUNGSGERICHT UV.2016.00190 du 8 novembre 2017</w:t>
      </w:r>
    </w:p>
    <w:p>
      <w:r>
        <w:t>IT: ZH_SOZIALVERSICHERUNGSGERICHT UV.2016.00190 del 8 novembre 2017</w:t>
      </w:r>
    </w:p>
    <w:p>
      <w:pPr>
        <w:pStyle w:val="Heading2"/>
      </w:pPr>
      <w:r>
        <w:t>Erwägungen</w:t>
      </w:r>
    </w:p>
    <w:p>
      <w:r>
        <w:rPr>
          <w:b/>
        </w:rPr>
        <w:t>E. 1</w:t>
      </w:r>
    </w:p>
    <w:p>
      <w:r>
        <w:t>Der im Jahre 1975 geborene X.___ war seit dem 1. Oktober 2014 bei der Y.___ als Chefkoch angestellt und als solcher bei der SWICA Versicherungen AG (Swica) gegen die Folgen von Be triebs- und Nicht betriebsunfällen versichert. Am 24. Juni 2015 verunfallte er mit seinem e-scooter und zog sich schwere Kopfverletzungen zu (Urk. 9/1, Urk. 9/8 S. 3). Mit Verfü gung vom 4. Januar 2016 kürzte der Unfallversicherer die Geldleistung in An wendung von Art. 37 Abs. 3 des Bundesgesetzes über die Unfallversicherung (UVG) um 50 % (Urk. 9/113). Mit Strafbefehl vom 4. April 2016 wurde der Versi cherte wegen Fahrens ohne Haftpflichtversicherung, Fahrens in fahrunfähigem Zustand, Fahrens ohne Fahrzeugausweis oder Kontrollschilder sowie mehrfacher fahrlässiger Verletzung der Verkehrsregeln mit einer bedingten Geldstrafe von 45 Tagessätzen zu je Fr. 30.-- bestraft, unter Ansetzung einer Probezeit von 2 Jahren (Urk. 3). Nach erfolgter Einsprache gegen die Verfügung vom 4. Januar 2016 (Urk. 9/118) hielt die Swica mit Einspracheentscheid vom 6. Juli 2016 im Ergeb nis an der getroffenen Einschätzung fest (Urk. 9/133 = Urk. 2).</w:t>
      </w:r>
    </w:p>
    <w:p>
      <w:r>
        <w:rPr>
          <w:b/>
        </w:rPr>
        <w:t>E. 1.1</w:t>
      </w:r>
    </w:p>
    <w:p>
      <w:r>
        <w:t>Hat die versicherte Person den Gesundheitsschaden oder den Tod absichtlich herbeigeführt, so besteht gemäss Art. 37 Abs. 1 UVG kein Anspruch auf Versi cherungsleistungen, mit Ausnahme der Bestattungskosten. Gemäss Art. 21 Abs. 1 des Bundesgesetzes über den Allgemeinen Teil des Sozi alversicherungsrechts (ATSG) können der versicherten Person, die den Versi cherungsfall vorsätzlich oder bei vorsätzlicher Ausübung eines Verbrechens oder Vergehens herbeigeführt oder verschlimmert hat, die Geldleistungen vo r- übergehend oder dauernd gekürzt oder in schweren Fällen verweigert werden. Nach Art. 21 Abs. 2 ATSG werden Geldleistungen für Angehörige oder Hinter lassene nur gekürzt oder verweigert, wenn diese den Versicherungsfall vorsätz lich oder bei vorsätzlicher Ausübung eines Verbrechens oder Vergehens herbei geführt haben. In Abweichung von Art. 21 Abs. 1 ATSG werden gemäss Art. 37 Abs. 2 UVG in der Versicherung der Nichtberufsunfälle die Taggelder, die während der ersten zwei Jahre nach dem Unfall ausgerichtet werden, gekürzt, wenn die versicherte Person den Unfall grob fahrlässig herbeigeführt hat. Die Kürzung beträgt jedoch höchstens die Hälfte der Leistungen, wenn die versicherte Person im Zeitpunkt des Unfalls für Angehörige zu sorgen hat, denen bei ihrem Tode Hinterlas senenrenten zustehen würden. Nach der Rechtsprechung handelt grobfahrlässig, wer jene elementaren Vorsichtsgebote unbeachtet lässt, die jeder verständige Mensch in der gleichen Lage und unter den gleichen Umständen befolgt hätte, um eine nach dem natürlichen Lauf der Dinge veraussehbare Schädigung zu vermeiden (BGE 118 V 305 E. 2a). Bei Fehlverhalten im Strassenverkehr ist grobe Fahrlässigkeit im Sinne von Art. 37 Abs. 2 UVG in der Regel dann anzu nehmen, wenn in ursächlichem Zusammenhang mit dem Unfall eine elementare Verkehrsvorschrift oder mehrere wichtige Verkehrsregeln schwerwiegend ver letzt wurden. Der Begriff der groben Fahrlässigkeit nach Art. 37 Abs. 2 UVG ist in diesen Fällen weiter zu fassen als derjenige der groben Verletzung von Ver kehrsregeln nach Art. 90 Ziff. 2 des Strassenverkehrsgesetzes (SVG), welcher ein rücksichtsloses oder sonst schwerwiegend regelwidriges Verhalten voraussetzt (Bundesgerichtsurteil 8C_263/2013 vom 19. August 2013 E. 4.2; BGE 118 V 305 E. 2b). Ebenso in Abweichung von Art. 21 Abs. 1 ATSG können der versicherten Per son die Geldleistungen gekürzt oder in besonders schweren Fällen verweigert werden, wenn sie den Unfall bei nicht vorsätzlicher Ausübung eines Verbre chens oder Vergehens herbeigeführt hat. Hat die versicherte Person im Zeit punkt des Unfalles für Angehörige zu sorgen, denen beim Tode der versicherten Person Hinterlassenenrenten zustünden, so werden Geldleistungen höchstens um die Hälfte gekürzt. Stirbt die versicherte Person an den Unfallfolgen, so können die Geldleistungen für die Hinterlassenen in Abweichung von Art. 21 Abs. 2 ATSG ebenfalls höchstens um die Hälfte gekürzt werden (Art. 37 Abs. 3 UVG).</w:t>
      </w:r>
    </w:p>
    <w:p>
      <w:r>
        <w:rPr>
          <w:b/>
        </w:rPr>
        <w:t>E. 1.2</w:t>
      </w:r>
    </w:p>
    <w:p>
      <w:r>
        <w:t>Für die Kürzung einer Geldleistung infolge eines Verbrechens oder Vergehens (Art. 37 Abs. 3 UVG) ist es notwendig, dass zwischen dem Unfall und der straf baren Handlung ein Kausalzusammenhang besteht. Dabei wird im Gegensatz zu Art. 37 Abs. 2 UVG kein schuldhaftes Verhalten vorausgesetzt. Auch muss der Unfall nicht durch die strafbare Handlung selbst herbeigeführt worden sein, sondern es genügt, wenn sich der Unfall anlässlich der Ausübung eines Verbre chens oder Vergehens ereignet. Der Gefahrenbereich, welcher von Art. 37 Abs. 3 UVG erfasst wird, ist umfassender als die strafbare Handlung und schliesst auch sämtliche unmittelbar damit zusammenhängenden Geschehensabläufe mit ein, so etwa die Flucht nach Verzicht oder Abbruch des deliktischen Verhaltens. Massgebend ist demnach ein sachlicher und zeitlicher Zusammenhang zwischen dem Unfall und dem Verbrechen oder Vergehen (Urteil des damaligen Eidge nössischen Versicherungsgerichts vom 20. Februar 2002, U 186/01, E. 4a mit Hinweis auf Rumo-Jungo, Die Leistungskürzung oder -verweigerung gemäss Art. 37-39 UVG, Diss., Freiburg i.Ue. 1993, S. 190 ff. und Maurer, Schweizeri sches Unfallversicherungsrecht, Bern 1985, S. 481 f.). Wenn beispielsweise ein Versicherter ein Motorfahrzeug entwendet, bei der Fahrt die Verkehrsregeln be achtet und durch alleiniges Verschulden eines anderen Motorfahrzeughalters verunfallt, so sind die Leistungen gleichwohl – nach Art. 37 Abs. 3 UVG - zu kürzen (Maurer, a.a.O., S. 482 Ziff. 2c).</w:t>
      </w:r>
    </w:p>
    <w:p>
      <w:r>
        <w:rPr>
          <w:b/>
        </w:rPr>
        <w:t>E. 1.3</w:t>
      </w:r>
    </w:p>
    <w:p>
      <w:r>
        <w:t>Ob der Versicherte die Invalidität bei Ausübung eines Verbrechens oder Verge hens herbeigeführt hat, beurteilt sich danach, ob sein Verhalten ein Verbrechen oder Vergehen im Sinne des Schweizerischen Strafgesetzbuches (StGB) darstellt. Vergehen sind dabei Taten, die mit Freiheit sstrafe bis zu drei Jahren oder mit Geldstrafe bedroht sind (Art. 10 Abs. 3 StGB), Übertretungen solche, die mit Busse bedroht sind (Art. 103 StGB).</w:t>
      </w:r>
    </w:p>
    <w:p>
      <w:r>
        <w:rPr>
          <w:b/>
        </w:rPr>
        <w:t>E. 2</w:t>
      </w:r>
    </w:p>
    <w:p>
      <w:r>
        <w:t>Dagegen erhob der Vertreter des Versicherten am 7. September 2016 Be schwerde und beantragte, es sei der angefochtene Einspracheentscheid aufzuhe ben und es seien dem Beschwerdeführer die gesetzlichen Leistungen auszurich ten; unter Kosten- und Entschädigungsfolgen zu Lasten der Beschwerdegegne rin (Urk. 1 S. 2).</w:t>
      </w:r>
    </w:p>
    <w:p>
      <w:r>
        <w:t>Mit Beschwerdeantwort vom 3. Oktober 2016 beantragte die Beschwerdegegne rin Abweisung der Beschwerde (Urk. 8). Mit Verfügung vom 26. Oktober 2016 wurde dem Beschwerdeführer Rechtsanwalt Christos Antoniadis, Zürich, als un entgeltlicher Rechtsvertreter für das vorliegende Verfahren bestellt; weiter wurde dem Beschwerdeführer die Beschwerdeantwort zur Kenntnis gebracht (Urk. 11). Das Gericht zieht in Erwägung: 1.</w:t>
      </w:r>
    </w:p>
    <w:p>
      <w:r>
        <w:rPr>
          <w:b/>
        </w:rPr>
        <w:t>E. 2.1</w:t>
      </w:r>
    </w:p>
    <w:p>
      <w:r>
        <w:t>Die Beschwerdegegnerin begründete den angefochtenen Einspracheentscheid damit, dass der Beschwerdeführer wegen diverser Übertretungstatbestände ver urteilt worden sei, so dass die Anwendung von Art. 37 Abs. 3 UVG ausser Be tracht falle und eine Leistungskürzung im Sinne von Abs. 2 zu prüfen sei. Der Beschwerdeführer habe in fahrunfähigem Zustand ohne Helm ein Rotlicht überfahren und damit sich selbst und andere gefährdet. Die Verletzung dieser elementaren Verkehrsregeln sei kausal zum Unfall, so dass die Kürzung der Taggelder um 50 % angemessen und die angefochtene Verfügung im Ergebnis zu bestätigen sei (Urk. 2 S. 3 f.).</w:t>
      </w:r>
    </w:p>
    <w:p>
      <w:r>
        <w:rPr>
          <w:b/>
        </w:rPr>
        <w:t>E. 2.2</w:t>
      </w:r>
    </w:p>
    <w:p>
      <w:r>
        <w:t>Demgegenüber machte der Vertreter des Beschwerdeführers im Wesentlichen geltend, dass für die Beurteilung der Angetrunkenheit auf die Kürzungssätze gemäss BGE 120 V 224 abzustellen sei. Bei 1.04 Gewichtspromillen sei von ei ner Kürzung von höchstens 20 % auszugehen. Dass der Cannabiskonsum zum Verlust der Kontrolle über das Fahrzeug und zum Sturz geführt habe, sei vorlie gend nicht erstellt. Weiter sei das Missachten des Rotlichts nicht unfallkausal gewesen; auch bestehe für einen e-scooter keine Helmpflicht. Der Beschwerde führer habe für sein Verhalten gewiss eine Kürzung seiner Versicherungsleis tungen zu gewärtigen, diese sei aber in Beachtung der Rechtsprechung auf 20 % anzusetzen (Urk. 1 S. 4 f.).</w:t>
      </w:r>
    </w:p>
    <w:p>
      <w:r>
        <w:rPr>
          <w:b/>
        </w:rPr>
        <w:t>E. 3</w:t>
      </w:r>
    </w:p>
    <w:p>
      <w:r>
        <w:t>VRV). Bei einem Fahrzeug mit einer gemessenen Höchstgeschwindigkeit von 42 km/h erscheint es damit ohne weiteres ebenso geboten, einen Fahrrad helm zu tragen.</w:t>
      </w:r>
    </w:p>
    <w:p>
      <w:r>
        <w:t>Insgesamt ist das Nichttragen eines Helmes als grobfahrlässig zu qualifizieren, was zu einer weiteren Kürzung der Taggeldleistungen führen muss (vgl. dazu auch BGE 121 V 45). Dabei kann insbesondere die Schwere von Kopfverletzun gen bei Zweiradfahrern durch einen Helm massgeblich vermindert werden (BGE 121 V 45 E. 3c). Dies erscheint auch im vorliegenden Fall ohne weiteres nach vollziehbar, insbesondere angesichts der Endlage des Kopfes am Unfallort (Urk. 9/71/19). Eine Kürzung der Leistungen um weitere 10 % erscheint dem nach als angemessen (vgl. hierzu BGE 121 V 45).</w:t>
      </w:r>
    </w:p>
    <w:p>
      <w:r>
        <w:rPr>
          <w:b/>
        </w:rPr>
        <w:t>E. 3.1</w:t>
      </w:r>
    </w:p>
    <w:p>
      <w:r>
        <w:t>Mit Strafbefehl vom 4. April 2016 wurde der Beschwerdeführer im Zusammen hang mit dem Selbstunfall vom 24. Juni 2015 der mehrfachen Übertretung des Strassenverkehrsgesetzes schuldig gesprochen; allein das Fahren ohne Haft pflichtversicherung stellt dabei ein Vergehen dar (Urk. 3, Art. 96 Abs. 2 Satz 1 SVG). Da dabei ein sachlicher Zusammenhang mit dem Unfallgeschehen zu ver neinen ist, hat der Beschwerdeführer den Unfall nicht bei Ausübung eines Ver gehens herbeigeführt, so dass – entsprechend der Einschätzung der Parteien – eine Prüfung der Leistungskürzung gemäss Art. 37 Abs. 2 UVG zu erfolgen hat.</w:t>
      </w:r>
    </w:p>
    <w:p>
      <w:r>
        <w:rPr>
          <w:b/>
        </w:rPr>
        <w:t>E. 3.2.1</w:t>
      </w:r>
    </w:p>
    <w:p>
      <w:r>
        <w:t>Unbestritten ist, dass der Beschwerdeführer seinen e-scooter im Unfallzeitpunkt mit einer Alkoholkonzentration von mindestens 1.04 Gewichtspromillen gelenkt hat. Gemäss pharmakologisch-toxikologischem Gutachten vom 15. Juli 2015 ist die Fahrunfähigkeit auch aufgrund der festgestellten THC-Menge erstellt (vgl. Urk. 9/106 S. 2). Allein aufgrund der Fahrunfähigkeit, welche für das Unfallge schehen wohl von zentraler Bedeutung gewesen ist, erscheint eine Leistungs kürzung angezeigt. Bei Unfällen unter Alkoholeinfluss bestimmt sich der Kür zungssatz gemäss höchstrichterlicher Rechtsprechung nach dem Ausmass der Trunkenheit. Bei einer Alkoholkonzentration von 0.8 bis 1.2 Gewichtspromillen beträgt die Kürzung in der Regel 20 % (vgl. etwa Urteil U 346/04 des vormali gen Eidgenössischen Versicherungsgerichts vom 29. Juni 2005 E. 2.2 mit Hin weisen). Eine solche Kürzung erscheint auch im vorliegenden Fall – entspre chend den Ausführungen des Vertreters des Beschwerdeführers – dem Verschul den des Beschwerdeführers angemessen.</w:t>
      </w:r>
    </w:p>
    <w:p>
      <w:r>
        <w:rPr>
          <w:b/>
        </w:rPr>
        <w:t>E. 3.2.2</w:t>
      </w:r>
    </w:p>
    <w:p>
      <w:r>
        <w:t>Weiter ist unbestritten, dass der Beschwerdeführer bei der Fahrt keinen Helm getragen hat und es bleibt zu prüfen, ob ihm dies vorzuwerfen ist. Hinzuweisen ist in diesem Zusammenhang darauf, dass das fragliche Gefährt nicht typenge nehmigt ist und demzufolge auf der öffentlichen Verkehrsfläche gar nicht ge fahren werden darf (Urk. 9/71/6, Urk. 9/71/12). Die Stadtpolizei Zürich ordnete das Fahrzeug der Kategorie Motorfahrrad mit Elektromotor (max. 1.0 kW, 30 km/h oder 45 km/h) zu, bei einer Höchstgeschwindigkeit gemäss Hersteller von 30 km/h und einer gemessenen Höchstgeschwindigkeit von 42 km/h (Urk. 9/71/6). Für die entsprechende Fahrzeugkategorie besteht Helmpflicht (Fahrradhelm, Art. 3b Abs. 3 lit. c der Verkehrsregelverordnung; VRV). Bei einer analogen Anwendung dieser Bestimmung auf den fraglichen e-scooter wäre demnach ohne weiteres von einem grobfahrlässigen Verhalten des Beschwer deführers auszugehen.</w:t>
      </w:r>
    </w:p>
    <w:p>
      <w:r>
        <w:t>Auch wenn man davon ausginge, dass der e-scooter mangels Zulassung nicht von der Helmpflicht gemäss Art. 3b Abs. 3 lit. c VRV erfasst wäre, würde dies zu keinem anderen Ergebnis führen. Bei Fehlen einer rechtlichen Vorschrift kann dann von Grobfahrlässigkeit gesprochen werden, wenn bezüglich des ge botenen Verhaltens ein breiter gesellschaftlicher Konsens besteht (RKUV 1994 Nr. U 198 S. 224). In Bezug auf die weit verbreite t en e-bikes besteht für die Fahrzeugkategorie mit einer Tretunterstützung über 25 km/h bis 45 km/h aus Sicherheitsgründen die Pflicht, wenigstens ei nen Fahrradhelm zu tragen (Art. 3b Abs.</w:t>
      </w:r>
    </w:p>
    <w:p>
      <w:r>
        <w:rPr>
          <w:b/>
        </w:rPr>
        <w:t>E. 3.2.3</w:t>
      </w:r>
    </w:p>
    <w:p>
      <w:r>
        <w:t>Zu prüfen bleibt, ob die Missachtung des Rotlichts im Zusammenhang mit dem Unfall steht. Entsprechend der Aussage der Auskunftsperson Z.___ führte das Überfahren des Rotlichts nicht zu einer direkten Kollision mit dem vortrittsberechtigten Verkehr (Urk. 9/71/7). Auch die Übersichtsaufnahmen vom Unfallort zeigen eine relevante Fahrstrecke zwischen dem Lichtsignal und der Sturzposition (Urk. 9/71/17-19), so dass eine Kausalität zwischen der Missach tung des Rotlichts und dem Unfall nicht mit überwiegender Wahrscheinlichkeit nachzuweisen ist.</w:t>
      </w:r>
    </w:p>
    <w:p>
      <w:r>
        <w:rPr>
          <w:b/>
        </w:rPr>
        <w:t>E. 3.3</w:t>
      </w:r>
    </w:p>
    <w:p>
      <w:r>
        <w:t>Zusammenfassend ist demnach sowohl hinsichtlich der Fahrunfähigkeit als auch des Nichttragens eines Helmes von einem grobfahrlässigen Verhalten des Beschwerdeführers auszugehen, welches sich massgeblich auf den Unfall aus gewirkt hat. In Würdigung aller Umstände erscheint in Anwendung von Art. 37 Abs. 2 UVG eine Kürzung der Taggeldleistungen im Umfang von 30 % als an gemessen.</w:t>
      </w:r>
    </w:p>
    <w:p>
      <w:r>
        <w:t>Dies führt in Gutheissung der Beschwerde zur Aufhebung des angefochtenen Einspracheentscheids, insoweit dieser eine weitergehende Kürzung der Leistun gen vorsah.</w:t>
      </w:r>
    </w:p>
    <w:p>
      <w:r>
        <w:rPr>
          <w:b/>
        </w:rPr>
        <w:t>E. 4</w:t>
      </w:r>
    </w:p>
    <w:p>
      <w:r>
        <w:t>Zustellung gegen Empfangsschein an: - Rechtsanwalt Christos Antoniadis - SWICA Versicherungen AG - Bundesamt für Gesundheit</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