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UV.2016.00065 vom 28. Juni 2016</w:t>
      </w:r>
    </w:p>
    <w:p>
      <w:r>
        <w:t>ZH Sozialversicherungsgericht, 2016-06-28, DE</w:t>
      </w:r>
    </w:p>
    <w:p>
      <w:r>
        <w:rPr>
          <w:b/>
        </w:rPr>
        <w:t xml:space="preserve">Quelle: </w:t>
      </w:r>
      <w:r>
        <w:t>https://mcp.opencaselaw.ch/entscheid/zh_sozialversicherungsgericht_UV.2016.00065</w:t>
      </w:r>
    </w:p>
    <w:p>
      <w:r>
        <w:t>FR: ZH_SOZIALVERSICHERUNGSGERICHT UV.2016.00065 du 28 juin 2016</w:t>
      </w:r>
    </w:p>
    <w:p>
      <w:r>
        <w:t>IT: ZH_SOZIALVERSICHERUNGSGERICHT UV.2016.00065 del 28 giugno 2016</w:t>
      </w:r>
    </w:p>
    <w:p>
      <w:pPr>
        <w:pStyle w:val="Heading2"/>
      </w:pPr>
      <w:r>
        <w:t>Erwägungen</w:t>
      </w:r>
    </w:p>
    <w:p>
      <w:r>
        <w:rPr>
          <w:b/>
        </w:rPr>
        <w:t>E. 1.1</w:t>
      </w:r>
    </w:p>
    <w:p>
      <w:r>
        <w:t>Die 1963 geborene X.___ war seit dem 1. Mai 2006 als Anlageberaterin bei der Y.___ beschäftigt und damit gegen die Folgen von Unfällen bei der CSS Versicherung AG versichert, als sie am 23. Juli 2012 bei einem Fahrrad sturz ein schweres Schädelhirntrauma erlitt ( Urk. 7/3 und Urk.</w:t>
      </w:r>
    </w:p>
    <w:p>
      <w:r>
        <w:t>7/1) und hernach b is Ende Februar 2013 zu 100 % arbeitsunfähig</w:t>
      </w:r>
    </w:p>
    <w:p>
      <w:r>
        <w:t>war (Urk.</w:t>
      </w:r>
    </w:p>
    <w:p>
      <w:r>
        <w:t>7/44) . In der Folge nahm sie ihre Arbeit unter langsamer Pensums teige rung wieder auf ; ab dem 1. September 2013 führte sie ein Pensum von 50 % aus (Urk. 7/137) . Am 1. Januar 2014 ging das Arbeitsverhältnis auf die Z.___ über ( Urk. 7/161).</w:t>
      </w:r>
    </w:p>
    <w:p>
      <w:r>
        <w:t>Di e CSS Versicherung AG kam für Taggeld und Heilbehandlungskosten auf , wobei die Schadenserledigung administrativ durch die Schweizerische Unfall versicherungsanstalt ( SUVA ) geführt wird.</w:t>
      </w:r>
    </w:p>
    <w:p>
      <w:r>
        <w:t>Per 31. März 2015 wurde das Arbeitsverhältnis mit der Z.___</w:t>
      </w:r>
    </w:p>
    <w:p>
      <w:r>
        <w:t>aufgelöst ( Urk. 7/218).</w:t>
      </w:r>
    </w:p>
    <w:p>
      <w:r>
        <w:rPr>
          <w:b/>
        </w:rPr>
        <w:t>E. 1.2</w:t>
      </w:r>
    </w:p>
    <w:p>
      <w:r>
        <w:t>Die SUVA beabsichtigte in der Folge , ein interdisziplinäre s</w:t>
      </w:r>
    </w:p>
    <w:p>
      <w:r>
        <w:t>Gutachten in den Fachrichtungen Neurologie, Neuro psychologie und Ophthalmologie in Auftrag zu geben. Sie gab X.___</w:t>
      </w:r>
    </w:p>
    <w:p>
      <w:r>
        <w:t>mit Schreiben vom 18. September 2015 die vorgesehenen Gutachter (Neurologie, Schwergewicht und Federführung : Dr.</w:t>
      </w:r>
    </w:p>
    <w:p>
      <w:r>
        <w:t>med. A.___ , Facharzt für Neurologie, B.___ ; Neuropsychologie : Prof. C.___ , Institut für Neuropsychologische Diagnostik und Bildgebung der Klinik D.___ , E.___ ; Ophthalmologie :</w:t>
      </w:r>
    </w:p>
    <w:p>
      <w:r>
        <w:t>Dr. med. Gerber F.___ , Facharzt Oph thalmologie, G.___ ) bekannt und räumte ihr im selben Schreiben die Gelegenheit ein ,</w:t>
      </w:r>
    </w:p>
    <w:p>
      <w:r>
        <w:t>zur Notwendigkeit der Begutachtung an sich, zu den vorgeschlagenen Be gutachtungsstellen und zum beigelegten Fragenkatalog mit Sachverhalt Stel lung zu nehmen ( Urk. 7/252) . Mit Schreiben vom 29.</w:t>
      </w:r>
    </w:p>
    <w:p>
      <w:r>
        <w:t>September 2015 nahm die Versicherte diese Gelegenheit wahr ( Urk. 7/256). Sie verlangte im Wesentlichen den Einbezug weiterer Fachrichtungen und wünschte Anpassungen beim Fra genkatalog . Zudem beantragte sie, es seien Fremdanamnesen einzuholen und bei der Gutachtensorganisation auf ihre stark eingeschränkte Belastbarkeit Rücksicht zu nehmen. Schliesslich stellte sie Zusatzfragen. Mit Mitteilung vom 10.</w:t>
      </w:r>
    </w:p>
    <w:p>
      <w:r>
        <w:t>November 2015 räumte die SUVA der Versicherten die Gelegenheit ein ,</w:t>
      </w:r>
    </w:p>
    <w:p>
      <w:r>
        <w:t>zum modifizierten Entwurf des</w:t>
      </w:r>
    </w:p>
    <w:p>
      <w:r>
        <w:t>Gutachtensau f trag s</w:t>
      </w:r>
    </w:p>
    <w:p>
      <w:r>
        <w:t>unter Einbezug einer psychiatri schen Begutachtung durch Dr.</w:t>
      </w:r>
    </w:p>
    <w:p>
      <w:r>
        <w:t>med. H.___ , Psychiatrie und Psychotherapie, I.___ , Stellung zu nehmen ( Urk. 7/ 258- 259).</w:t>
      </w:r>
    </w:p>
    <w:p>
      <w:r>
        <w:t>Auf Einwand der Versicherten hin ( Urk. 7/265) nahm die SUVA hernach Anpassungen bei der Sachverhalt sschil derung</w:t>
      </w:r>
    </w:p>
    <w:p>
      <w:r>
        <w:t>vor und setzte ihr erneut eine Frist für eine Stellungnahme an ( Urk. 7/266). Mit Email vom 11.</w:t>
      </w:r>
    </w:p>
    <w:p>
      <w:r>
        <w:t>Dezember 2015 beantragte die Versicherte eine Fristverlängerung, da sie sich anwaltlich vertreten lassen wolle ( Urk. 7/268). Mit Einwand vom 18.</w:t>
      </w:r>
    </w:p>
    <w:p>
      <w:r>
        <w:t>Januar 2016 ( Urk. 7/272) rügte die Anwältin von X.___</w:t>
      </w:r>
    </w:p>
    <w:p>
      <w:r>
        <w:t>namentlich die Wahl des federführenden Hauptgutachters Dr. A.___</w:t>
      </w:r>
    </w:p>
    <w:p>
      <w:r>
        <w:t>(S. 1) und beantragte, dass auch das neurologische Teilgutachten in der Klinik D.___ durchgeführt werde n solle (S. 9). Zudem erhob sie Einwände zum Fragenkatalog ( S. 10 ff. ). Mit Zwischenverfügung vom 1.</w:t>
      </w:r>
    </w:p>
    <w:p>
      <w:r>
        <w:t>Februar 2016 hielt die CSS Versi cherungen AG an der Begutachtung durch Dr. A.___ und am Fragenkatalog fest ( Urk. 2).</w:t>
      </w:r>
    </w:p>
    <w:p>
      <w:r>
        <w:rPr>
          <w:b/>
        </w:rPr>
        <w:t>E. 2</w:t>
      </w:r>
    </w:p>
    <w:p>
      <w:r>
        <w:t>.2</w:t>
      </w:r>
    </w:p>
    <w:p>
      <w:r>
        <w:t>Im Verwaltungsverfahren müssen Personen, die Entscheidungen über Rechte und Pflichten treffen oder vorzubereiten haben, darunter auch Sachverständige, in den Ausstand treten, wenn sie in der Sache ein persönliches Interesse haben oder aus andere Gründen in der Sache befangen sein könnten ( Art. 10 VwVG und Art. 36 Abs. 1 des Bundesgesetzes über den Allgemeinen Teil des Sozial versicherungsrechts, ATSG ,</w:t>
      </w:r>
    </w:p>
    <w:p>
      <w:r>
        <w:t>sowie statt vieler: Urteil des Bundesgerichts 8C_599/2014 vom 18. Dezember 2015 mit zahlreichen Hinweisen).</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 pekte - etwa die fehlende Sachkenntnis - zu den triftigen Gründen ( Kieser , ATSG-Kommentar,</w:t>
      </w:r>
    </w:p>
    <w:p>
      <w:r>
        <w:rPr>
          <w:b/>
        </w:rPr>
        <w:t>E. 3</w:t>
      </w:r>
    </w:p>
    <w:p>
      <w:r>
        <w:t>.2</w:t>
      </w:r>
    </w:p>
    <w:p>
      <w:r>
        <w:t>Die Beschwerdegegnerin hatte in der Zwischenverfügung vom 1. Februar 2016 ( Urk. 2) an ihrem Fragenkatalog sowie der Begutachtung durch Dr. A.___ festge halten und sich auf den Standpunkt gestellt, es seien keine triftigen formellen beziehungsweise gesetzlichen Ausstandsgründe vorgebracht worden.</w:t>
      </w:r>
    </w:p>
    <w:p>
      <w:r>
        <w:t>In der Beschwerdeantwort vom 21. April 2016 führte die Beschwerdegegnerin aus, zentraler Grund für den Einbezug von Dr. A.___ sei seine fachliche Kompe tenz und seine Erfahrung als Gutachter. Beides werde von der Beschwerdefüh rerin zu Recht nicht bestritten. Dass Dr. A.___ von der SUVA kontinuierlich als Gutachter eingesetzt werde, spreche nicht gegen, sondern für dessen Qualität, werde doch die Qualität der Gutachter von der SUVA-Clearing Stelle regelmäs sig evaluiert und würden die erstatteten Gutachten anhand standardisierten Kriterien einer Review durch SUVA-Fachärzte unterzogen (Urk.</w:t>
      </w:r>
    </w:p>
    <w:p>
      <w:r>
        <w:rPr>
          <w:b/>
        </w:rPr>
        <w:t>E. 6</w:t>
      </w:r>
    </w:p>
    <w:p>
      <w:r>
        <w:t>S. 4 f. Ad Ziff. 27) . So weit die Beschwerdeführerin die Datenoffenlegung mittels Bundesgesetz es</w:t>
      </w:r>
    </w:p>
    <w:p>
      <w:r>
        <w:t>über das Öffent lichkeitsprinzip der Verwaltung (Öffentlichkeitsgesetz, BGÖ) durchset zen möchte (vgl. Urk. 1 Ziff. 30) , wird sie den dort vorgesehenen Weg zu be schreiten haben.</w:t>
      </w:r>
    </w:p>
    <w:p>
      <w:r>
        <w:t>Überdies liesse</w:t>
      </w:r>
    </w:p>
    <w:p>
      <w:r>
        <w:t>sich mit der von der Beschwerdeführerin geforderten Datenbereit stellung</w:t>
      </w:r>
    </w:p>
    <w:p>
      <w:r>
        <w:t>der angestrebte Beweis der ergebnisorientierten Begutach tung</w:t>
      </w:r>
    </w:p>
    <w:p>
      <w:r>
        <w:t>auch nicht erbringen , verlangte sie doch nur in Bezug auf Dr.</w:t>
      </w:r>
    </w:p>
    <w:p>
      <w:r>
        <w:t>A.___</w:t>
      </w:r>
    </w:p>
    <w:p>
      <w:r>
        <w:t>Anga ben betreffend die Anzahl der Fälle , in denen eine natürliche Kausalität bezie hungsweise ein</w:t>
      </w:r>
    </w:p>
    <w:p>
      <w:r>
        <w:t>status quo sine/ante ab 12 Monaten bejaht beziehungsweise verneint wurden ( Urk. 1 Ziff. 27) . Ohne Vergleichsdaten sind aber die Daten ei nes einzelnen Gutachters von v ornher e in uninteressant (vgl. das vorerwähnte Urteil des Bundesgerichts 8C_599/2014 vom 18. Dezember 2015 E.</w:t>
      </w:r>
    </w:p>
    <w:p>
      <w:r>
        <w:t>6.6). 4 . 4</w:t>
      </w:r>
    </w:p>
    <w:p>
      <w:r>
        <w:t>Unter dem Gesichtspunkt der wirtschaftlichen Abhängigkeit führen nach gefestig ter Rechtsprechung auch der regelmässige Beizug eines Gutachters oder einer Begutachtungsinstitution durch den Versicherungsträger, die Anzahl der beim selben Arzt in Auftrag gegebenen Gutachten und Berichte sowie das daraus resultierende Honorarvolumen für sich allein genommen nicht zum Ausstand (BGE 137 V 210 E. 1.3.3; Urteile des Bundesgerichts 9C_113/2012 vom 14. Mä rz 2012 E. 2.1 und 8C_702/2</w:t>
      </w:r>
    </w:p>
    <w:p>
      <w:r>
        <w:rPr>
          <w:b/>
        </w:rPr>
        <w:t>E. 011</w:t>
      </w:r>
    </w:p>
    <w:p>
      <w:r>
        <w:t>vom 8. Februar 2012 E. 5.1 ) . 4 .5</w:t>
      </w:r>
    </w:p>
    <w:p>
      <w:r>
        <w:t>Betreffend den Einwand der e ingeschränkte n Mobilität ( Urk. 1 Ziff. 28) ist mit Blick auf die aktenkundigen Aktivitäten der Beschwerdeführerin (vgl. etwa Urk. 7/234) nicht ersichtlich, dass ihr die Anreise von J .___ nach Wattwil , Us ter, Zürich und Basel nicht m öglich und zumutbar sein soll , zumal ihr im Fall einer Begleitung durch den Lebenspartner de r Ersatz der Spesen auslagen</w:t>
      </w:r>
    </w:p>
    <w:p>
      <w:r>
        <w:t>ange boten wurde ( Urk. 7/271). 5 .</w:t>
      </w:r>
    </w:p>
    <w:p>
      <w:r>
        <w:t>Gemäss der bundesgerichtlichen Rechtsprechung im Bereich der Invalidenversi cherung hat die Verwaltung über die Zusatzfragen der versicherten Pers on mit tels Verfügung zu befinden . Will die versicherte Person dagegen Beschwerde er heben, hat sie einen nicht wieder gutzumachenden Nachteil nachzuweisen ( BGE 141 V 330 ). Die rechtssuchende Person hat diesen Nachteil darzulegen und er ist vom Gericht als Eintretensvoraussetzung zu prüfen (E. 8.2). Für das Verfah ren im Bereich der Unfallversicherung ist nichts Abweichendes vorzusehen, zu mal sowohl im Abklärungsverfahren der Invalidenversicherung wie auch in demjenigen der Unfallversicherung grundsätzlich dieselben Verfahrensbestim mungen gelten (vgl. Art. 1 Abs. 1 des Bundesgesetzes über die Unfallversiche rung, UVG; in Verbindung mit Art. 43-49 ATSG).</w:t>
      </w:r>
    </w:p>
    <w:p>
      <w:r>
        <w:t>Die Beschwerdeführerin äusserte sich beschwerdeweise nicht zur Frage des nicht wiedergutzumachenden Nachteils, weshalb die Eintretensvoraussetzung kaum erfüllt sind. Immerhin bleibt in Bezug auf die Rügen betreffend den Fra genkatalog ( Urk. 1 Ziff. 42 ff.) zu bemerken, dass diesen nicht gefolgt werden kann. Nicht zu beanstanden ist die Frage 1 nach apparativ-bildgebend objek ti vierbaren, organisch nachweisbare n Befunden. Hierzu kann auf die zutreffenden Ausführungen der Beschwerdegegnerin verwiesen werden ( Urk. 6 Ad Ziff. 42). Die Frage 3 zu den unfallfremden Gesundheitsschäden ist nicht in verpönter Weise suggestiv formuliert, zumal sie auch als Anschlussfrage an die Frage 2 betreffend die unfallbedingten Gesundheitsschäden zu lesen ist . Die von der Versicherten beantragte Ergänzung der Frage 4a (Ist von weiteren medizini schen Behandlungsmassnahmen […] eine namhafte Steigerung […] der Arbeits fähigkeit […] zu erwarten?) mag die Beschwerdegegnerin in ihrer Verfügung zwar nicht mit der gewünschten</w:t>
      </w:r>
    </w:p>
    <w:p>
      <w:r>
        <w:t>Deutlichkeit akzeptiert haben, mit den Aus führungen in der Beschwerdeantwort ( Urk. 6 Ad Ziff. 44) , wonach die Ergän zungsfrage (betreffend vorgeschlagene Behandlungsmassnahmen) dem Gutach ter unterbreitet werde, ist allerdings auch dieser Punkt geklärt. Dasselbe muss sinngemäss für die beantragte Ergänzung der Frage 6 in Bezug auf das kogni tive Belastbarkeitsprofil gelten (vgl. Urk. 1 Ziff. 44). 6 .</w:t>
      </w:r>
    </w:p>
    <w:p>
      <w:r>
        <w:t>Zusammenfassend liegen weder Anhaltspunkte vor, die den Anschein der Befan genheit von Dr. A.___ zu begründen vermögen noch stehen anderweitige triftige Gründe einer Begutachtung der Beschwerdeführerin durch Dr. A.___ ent gegen.</w:t>
      </w:r>
    </w:p>
    <w:p>
      <w:r>
        <w:t>Demgemäss ist nicht zu beanstanden, dass die Beschwerdegegnerin mit der ange fochtenen Zwischenverfügung vom 1. Februar 2016 ( Urk. 2) an der Begut achtung durch Dr. A.___</w:t>
      </w:r>
    </w:p>
    <w:p>
      <w:r>
        <w:t>sowie durch die übrigen von ihr vorgeschlagenen Gut achter</w:t>
      </w:r>
    </w:p>
    <w:p>
      <w:r>
        <w:t>festhielt. Der Entscheid betreffend Gutachterwahl bleibt – auch wenn die Versicherten Vorschläge machen können – bei der Verwaltung. Ebensowenig ist das Festhalten an den Gutachterfragen – mit den anerkannten Ergänzungen – zu beanstanden , soweit auf die entsprechenden Vorbringen einzutreten ist . Demgemäss ist die Beschwerde abzuweisen. Das Gericht erkennt: 1.</w:t>
      </w:r>
    </w:p>
    <w:p>
      <w:r>
        <w:t>Die Beschwerde wird abgewiesen. 2.</w:t>
      </w:r>
    </w:p>
    <w:p>
      <w:r>
        <w:t>Das Verfahren ist kostenlos. 3.</w:t>
      </w:r>
    </w:p>
    <w:p>
      <w:r>
        <w:t>Zustellung gegen Empfangsschein an: - Rechtsanwältin Evalotta Samuelsson - CSS 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