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UV.2015.00270 vom 18. März 2016</w:t>
      </w:r>
    </w:p>
    <w:p>
      <w:r>
        <w:t>ZH Sozialversicherungsgericht, 2016-03-18, DE</w:t>
      </w:r>
    </w:p>
    <w:p>
      <w:r>
        <w:rPr>
          <w:b/>
        </w:rPr>
        <w:t xml:space="preserve">Quelle: </w:t>
      </w:r>
      <w:r>
        <w:t>https://mcp.opencaselaw.ch/entscheid/zh_sozialversicherungsgericht_UV.2015.00270</w:t>
      </w:r>
    </w:p>
    <w:p>
      <w:r>
        <w:t>FR: ZH_SOZIALVERSICHERUNGSGERICHT UV.2015.00270 du 18 mars 2016</w:t>
      </w:r>
    </w:p>
    <w:p>
      <w:r>
        <w:t>IT: ZH_SOZIALVERSICHERUNGSGERICHT UV.2015.00270 del 18 marzo 2016</w:t>
      </w:r>
    </w:p>
    <w:p>
      <w:pPr>
        <w:pStyle w:val="Heading2"/>
      </w:pPr>
      <w:r>
        <w:t>Erwägungen</w:t>
      </w:r>
    </w:p>
    <w:p>
      <w:r>
        <w:rPr>
          <w:b/>
        </w:rPr>
        <w:t>E. 1</w:t>
      </w:r>
    </w:p>
    <w:p>
      <w:r>
        <w:t>X.___ , geboren 1989, arbeitet seit 1. Dezember 2012 als k aufmännische Angestellte bei der Gemeinde Y.___ und ist in dieser Eigenschaft bei der Zürich Versicherungs-Gesellschaft AG (nachfolgend: Zürich) gegen die Folgen von Unfällen versichert ( Urk. 7/Z1). Am 2 2. Mai 2013 machte sie beim Joggen in der Wiese einen Fehltritt und knickte mit dem rechten Fuss ab ( Bagatellunfallmeldung vom 2 7. Mai 2013 , Urk. 7/Z1). Sie begab sich auf Zuweisung ihrer Hausärztin am folgenden Tag zu</w:t>
      </w:r>
    </w:p>
    <w:p>
      <w:r>
        <w:t>Dr. med. Z.___ , Facharzt FMH Allgemein- und Unfallchirurgie, welcher eine distale Partial ruptur des medialen Gastrognemiuskopfes rechts diagnostizierte</w:t>
      </w:r>
    </w:p>
    <w:p>
      <w:r>
        <w:t>( Urk. 7/ZM4). Die Zürich erbrachte die gesetzlichen Leistungen, bis sie diese im Juni 2013 formlos einstellte ( Urk.</w:t>
      </w:r>
    </w:p>
    <w:p>
      <w:r>
        <w:rPr>
          <w:b/>
        </w:rPr>
        <w:t>E. 1.1.1</w:t>
      </w:r>
    </w:p>
    <w:p>
      <w:r>
        <w:t>Zwischenverfügungen können gemäss Art. 55 Abs. 1 des Bundesgesetzes über den Allgemeinen Teil des Sozialversicherungsrechts (ATSG) in Verbindung mit Art. 5 Abs. 2 und Art. 46 des Bundesgesetzes über das Verwaltungsverfahren ( VwVG ) bei Be jahung eines nicht wieder gutzu machenden Nachteils (Art. 46 Abs. 1 lit . a VwVG ) unter Erhebung aller ge setz lich vorgesehenen Rügen recht licher und tat sächlicher Natur angefochten wer den. Bei der Beurteilung des Merkmals des nicht wieder gutzu machenden Nach teils im Kontext der Gutach tenanordnung fällt gemäss der Rechtsprechung (BGE 137 V 210 E. 3.4.2.7) ins Gewicht, dass das Sachver ständigengutachten im Rechtsmittelverfahren mit Blick auf die fachfremde Materie faktisch nur beschränkt überprüfbar ist. Mithin kommt es entscheidend darauf an, dass quali tätsbezogene Rahmenbedingungen durchgesetzt werden können. Greifen die Mitwirkungsrechte erst nachträglich – bei der Beweiswürdi gung im Ver wal tungs - und Beschwerdeverfahren – , so kann hieraus ein nicht wieder gutzu machender Nachteil entstehen, zumal im Anfechtungsstreit verfahren kein Anspruch auf Einholung von Gerichtsgutach ten besteht. Hinzu kommt, dass die mit medizinischen Untersuchungen einher gehenden Belastun gen zuweilen einen erheblichen Eingriff in die physische oder psychische Integrität bedeuten.</w:t>
      </w:r>
    </w:p>
    <w:p>
      <w:r>
        <w:rPr>
          <w:b/>
        </w:rPr>
        <w:t>E. 2</w:t>
      </w:r>
    </w:p>
    <w:p>
      <w:r>
        <w:t>Dagegen erhob X.___ am 1 6. Dezember 2015 Beschwerde und bean tragte, das hiesige Gericht habe, in Würdigung aller Umstände, die medizinische Exploration durch einen von ihm bestimmten Fachexperten in Auftrag zu geben. Eventualiter sei die Zwischenverfügung vom 1 7. November 2015 auf zu heben und die Beschwerdegegnerin sei zu verpflichten, ihre Beziehungen und Verbindungen zu den von ihr vorgeschlagenen medizinischen Gutachtern offen zu legen und ihren Fragekatalog im Sinne der Korrektur- und Ergänzungsan träge vom 2 1. Oktober 2015 zu korrigieren ( Urk. 1 S. 1). Mit Beschwerdeantwort vom 1 9. Januar 2016 beantragte die Beschwerdegegnerin Abweisung der Beschwerde ( Urk. 6, unter Beilage ihrer Akten [ Urk. 7/Z1-Z76, Urk. 7/ZM1 ZM24], was der Beschwerdeführerin mit Verfügung vom 2 1. Januar 2016 zur Kenntnis gebracht wurde ( Urk. 8).</w:t>
      </w:r>
    </w:p>
    <w:p>
      <w:r>
        <w:rPr>
          <w:b/>
        </w:rPr>
        <w:t>E.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