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UV.2015.00180 vom 26. September 2016</w:t>
      </w:r>
    </w:p>
    <w:p>
      <w:r>
        <w:t>ZH Sozialversicherungsgericht, 2016-09-26, DE</w:t>
      </w:r>
    </w:p>
    <w:p>
      <w:r>
        <w:rPr>
          <w:b/>
        </w:rPr>
        <w:t xml:space="preserve">Quelle: </w:t>
      </w:r>
      <w:r>
        <w:t>https://mcp.opencaselaw.ch/entscheid/zh_sozialversicherungsgericht_UV.2015.00180</w:t>
      </w:r>
    </w:p>
    <w:p>
      <w:r>
        <w:t>FR: ZH_SOZIALVERSICHERUNGSGERICHT UV.2015.00180 du 26 septembre 2016</w:t>
      </w:r>
    </w:p>
    <w:p>
      <w:r>
        <w:t>IT: ZH_SOZIALVERSICHERUNGSGERICHT UV.2015.00180 del 26 settembre 2016</w:t>
      </w:r>
    </w:p>
    <w:p>
      <w:pPr>
        <w:pStyle w:val="Heading2"/>
      </w:pPr>
      <w:r>
        <w:t>Erwägungen</w:t>
      </w:r>
    </w:p>
    <w:p>
      <w:r>
        <w:rPr>
          <w:b/>
        </w:rPr>
        <w:t>E. 1</w:t>
      </w:r>
    </w:p>
    <w:p>
      <w:r>
        <w:t>0 % zu . Die vom Versicherten am 19. November 2014 erhobene Einsprache (Urk. 7/133 ) wies die SUVA mit Einspracheentscheid vom 31. Juli 2015 ab (Urk. 7/140 = Urk. 2). Der zuständige Krankenversicherer erhob keine Einspra che gegen den Einspracheentscheid .</w:t>
      </w:r>
    </w:p>
    <w:p>
      <w:r>
        <w:rPr>
          <w:b/>
        </w:rPr>
        <w:t>E. 1.2</w:t>
      </w:r>
    </w:p>
    <w:p>
      <w:r>
        <w:t>Ist eine versicherte Person infolge eines Unfalles mindestens zu 10 Prozent inva lid, so hat sie gemäss</w:t>
      </w:r>
    </w:p>
    <w:p>
      <w:r>
        <w:t>Art. 18 Abs. 1 des Bundesgesetzes über die Unfall versicherung (UVG) Anspruch auf eine Invalidenrente. Zur Bestimmung des In validitätsgrades wird gemäss</w:t>
      </w:r>
    </w:p>
    <w:p>
      <w:r>
        <w:t>Art. 16 des Bundesgesetzes über den Allgemeinen Teil des Sozialversicherungsrechts (ATSG) das Erwerbseinkommen, das die ver sicherte Person nach Eintritt der unfallbedingten Invalidität und nach Durch führung allfälliger Eingliederungsmassnahmen durch eine zumutbare Tätigkeit bei ausgeglichener Arbeitsmarktlage erzielen könnte (sog. Invalideneinkom men ), in Beziehung gesetzt zum Erwerbseinkommen, das sie erzielen könnte, wenn sie nicht invalid geworden wäre (sog. Valideneinkommen ). 1. 3</w:t>
      </w:r>
    </w:p>
    <w:p>
      <w:r>
        <w:t>Gemäss bundesgerichtlicher Rechtsprechung ist für die Ermittlung des Validen - ein kommens entscheidend, was die versicherte Person im Zeitpunkt des frühest - möglichen Rentenbeginns nach dem Beweisgrad der überwiegenden Wahr - scheinlichkeit als Gesunde tatsächlich verdient hätte. Dabei wird in der Regel am zuletzt erzielten, nötigenfalls der Teuerung und der realen Einkom mensent - wicklung angepassten Verdienst angeknüpft, da es empirischer Erfah rung entspricht, dass die bisherige Tätigkeit ohne Gesundheitsschaden fortge setzt worden wäre. Ausnahmen müssen mit überwiegender Wahrscheinlichkeit erstellt sein (BGE 134 V 322 E. 4.1 mit Hinweisen).</w:t>
      </w:r>
    </w:p>
    <w:p>
      <w:r>
        <w:t>Der bei der Bemessung des Invalideneinkommens zu berücksichtigenden aus - gegli chenen Arbeitsmarktlage (Art. 16 ATSG) ist grundsätzlich auch bei der Festsetzung des Validenlohnes Rechnung zu tragen, wobei auf die Ergebnisse der vom Bundesamt für Statistik herausgegebenen Schweizerischen Lohnstruk turerhebung (LSE) abgestellt werden kann (Urteil des Bundesgerichts 9C_192/2014 vom 23. Septem ber 2014 E. 3.2 mit Hinweisen). 1 . 4</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 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 tistik periodisch herausgegebenen Lohnstrukturerhebungen (LSE) oder die DAP-Zahlen herangezogen werden (BGE 139 V 592 E. 4.2.1 mit Hinweisen). Die DAP ist eine Sammlung von Beschreibungen in der Schweiz tatsächlich existierender Arbeitsplätze. Damit unterscheidet sie sich von der tabellarischen Darstellung von Durchschnittslöhnen, die im Rahmen der Schweizerischen Lohnstrukturerhebung (LSE) vom Bundesamt für Statistik regelmässig erhoben werden. Neben allgemeinen Angaben und Verdienstmöglichkeiten werden in der DAP die physischen Anforderungen an die Stelleninhaber oder Stelleninha berinnen festgehalten. Der Raster der körperlichen Anforderungskriterien basiert auf dem internationalen medizinischen Standard EFL nach Isernhagen (ergono mische Funktions- und Leistungsprüfung). Die SUVA entschloss sich 1995 zum Aufbau der DAP mit dem Zweck, das Invalideneinkommen entsprechend den gerichtlichen Anforderungen so konkret wie möglich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 hinderungsprofil entsprechenden Gruppe. Damit soll die Überprüfung des Aus wahlermessens ermöglicht werden, und zwar in dem Sinne, dass die Kenntnis der Gesamtzahl der dem verwendeten Behinderungsprofil entsprechenden Ar 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 kreten Fall herangezogenen DAP-Profile mit den erwähnten zusätzlichen Anga ben auflegt und die versicherte Person Gelegenheit hat, sich dazu zu äussern . Allfällige Einwendungen der versicherten Person bezüglich des Auswahlermes sens und der Repräsentativität der DAP-Blätter im Einzelfall sind grundsätzlich im Einspracheverfahren zu erheben, damit sich die SUVA im Einspracheent scheid damit auseinandersetzen kann. Ist die SUVA nicht in der Lage, im Ein 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 mität der DAP-Invaliditätsbemessung zu prüfen, gegebenenfalls die Sache an den Versicherer zurückzuweisen oder an Stelle des DAP-Lohnvergleichs einen Tabellenlohnvergleich gestützt auf die LSE vorzunehmen (BGE</w:t>
      </w:r>
    </w:p>
    <w:p>
      <w:r>
        <w:t>139 V 592 E. 6.3, 129 V 472 E.</w:t>
      </w:r>
    </w:p>
    <w:p>
      <w:r>
        <w:t>4.7.2). Rechtsprechungsgemäss sind im Rahmen des DAP-Systems, bei dem aufgrund der ärztlichen Zumutbarkeitsbeurteilung anhand von Arbeitsplatzbeschreibun gen konkrete Verweisungstätigkeiten ermittelt werden, Abzüge grundsätzlich nicht sachgerecht. Abzüge sind nur vorzunehmen, wenn zeitliche oder leis tungsmässige Reduktionen medizinisch begründet sind. Im Übrigen wird spezi fischen Beeinträchtigungen in der Leistungsfähigkeit bei der Auswahl der zu mutbaren DAP-Profile Rechnung getragen. Bezüglich der weiteren persönlichen und beruflichen Merkmale (Teilzeitarbeit, Alter, Anzahl Dienstjahre, Aufent haltsstatus ), die bei der Anwendung der LSE zu einem Abzug führen können, ist darauf hinzuweisen, dass auf den DAP-Blättern in der Regel nicht nur ein Durchschnittslohn, sondern ein Minimum und ein Maximum angegeben sind, innerhalb deren Spannbreite auf die konkreten Umstände Rück sicht genommen werden kann (BGE 139 V 592 E. 7 .3, 129 V 472 E. 4.2.3). 2.</w:t>
      </w:r>
    </w:p>
    <w:p>
      <w:r>
        <w:rPr>
          <w:b/>
        </w:rPr>
        <w:t>E. 2</w:t>
      </w:r>
    </w:p>
    <w:p>
      <w:r>
        <w:t>Der Versicherte erhob am 14. September 2015 Beschwerde gegen den Einsprache entscheid vom 31. Juli 2015 (Urk. 2) und beantragte, es sei der an gefochtene Entscheid aufzuheben und es seien ihm die Leistungen gemäss Un fallversicherungsgesetz zu gewähren, insbesondere sei ihm eine Rente bei einem Invaliditätsgrad von 39 % auszurichten (Urk. 1 S. 2).</w:t>
      </w:r>
    </w:p>
    <w:p>
      <w:r>
        <w:t>Mit Beschwerdeantwort vom 21. Oktober 2015 (Urk.</w:t>
      </w:r>
    </w:p>
    <w:p>
      <w:r>
        <w:rPr>
          <w:b/>
        </w:rPr>
        <w:t>E. 2.1</w:t>
      </w:r>
    </w:p>
    <w:p>
      <w:r>
        <w:t>Die Beschwerdegegnerin ermittelte gestützt auf fünf DAP-Profile ein Invaliden - ein kommen von Fr. 62‘870.80, woraus im Vergleich mit dem Validen ein - kommen von Fr. 81‘756.-- ein Invaliditätsgrad von gerundet 23 % resultierte ( Urk. 2 S. 8 f. E. 4.3). Mit Beschwerdeantwort hielt sie daran fest ( Urk. 6).</w:t>
      </w:r>
    </w:p>
    <w:p>
      <w:r>
        <w:rPr>
          <w:b/>
        </w:rPr>
        <w:t>E. 2.2</w:t>
      </w:r>
    </w:p>
    <w:p>
      <w:r>
        <w:t>Der Beschwerdeführer machte geltend, dass sich vorliegend ein deutlich höherer Invaliditätsgrad ergeben würde, wenn bei der Ermittlung des Invalideneinkom mens auf die LSE statt auf die DAP-Erhebung abgestellt würde. Ausgehend von einem Monatslohn von Fr. 4‘901.-- gemäss LSE 2010 TA 1 ergebe sich unter Berücksichtigung der Nominallohnentwicklung und einer Arbeitszeit von 41.7 h pro Woche sowie einem Abzug von 20 % ein Invalidenlohn von Fr. 49‘472.30, woraus im Vergleich mit dem Valideneinkommen ein Invaliditätsgrad von 39 % resultiere ( Urk. 1 S. 13 Ziff. 52 ).</w:t>
      </w:r>
    </w:p>
    <w:p>
      <w:r>
        <w:rPr>
          <w:b/>
        </w:rPr>
        <w:t>E. 2.3</w:t>
      </w:r>
    </w:p>
    <w:p>
      <w:r>
        <w:t>Strittig und zu prüfen ist der Anspruch des Beschwerdeführers auf eine höhere als die zugesprochene Invalidenre nte . Streitig ist insbesondere das Abstellen auf die Profile gemäss Dokumentation von Arbeitsplätzen (DAP) der Beschwerde gegnerin zur Berechnung des Invalideneinkommens .</w:t>
      </w:r>
    </w:p>
    <w:p>
      <w:r>
        <w:t>Hingegen ist die Bemessung der im Verwaltungsverfahren noch gerügten Integri tätsentschädigung nicht mehr strittig ( Urk. 7/110, Urk. 7/1 3 3 S. 5, Urk. 1), weshalb der Einspracheentscheid diesbezüglich in Rechtskraft erwach sen ist. 3.</w:t>
      </w:r>
    </w:p>
    <w:p>
      <w:r>
        <w:t>Dr. med. Z.___ , Facharzt für Chirurgie, Kreisarzt, diagnostizierte auf grund seiner Abschlussuntersuchung des Beschwerdeführers vom 11. März 2014 ( Urk. 7/111) einen Status nach K ontusion respektive Distorsion der rechten S chulter mit Ruptur der Rotatorenmanschette am 1. Juni 2012 sowie einen S tatus nach arthroskopischer</w:t>
      </w:r>
    </w:p>
    <w:p>
      <w:r>
        <w:t>Supraspinatussehnenrekonstruktion sowie subak romialer</w:t>
      </w:r>
    </w:p>
    <w:p>
      <w:r>
        <w:t>Bursektomie und Akromioplastik am 13. September 201 2. Er führte aus, dass der postoperative Verlauf sich problemlos, aber etwas protrahiert ge staltet habe (S. 4). Der Beschwerdeführer habe eine ordentlich gut Funktion der rechten dominanten oberen Extremität erreicht, und es verbleibe noch eine in termittierende, belastungsabhängige Schmerzproblematik. Versicherungsmedi zinisch könne der Fall abgeschlossen werden. Dem Beschwerdeführer seien leichte bis mittelschwere wechselbelastende Tätigkeiten ohne repetitive Über kopfarbeiten ganztags zumutbar. Vereinzelte Überkopfarbeiten seien durchaus zumutbar. Zu vermeiden seien repetitive Vibrations- und Schlagbelastungen für die rechte obere Extremität. Tätigkeiten auf absturzgefährdeten Positionen seien nicht zumutbar wegen der eingeschränkten Haltefunktion rechts (S. 5).</w:t>
      </w:r>
    </w:p>
    <w:p>
      <w:r>
        <w:t>Von dieser überzeugenden (vorstehend E. 1.1) und unter den Parteien unbe - stritte nen ( Urk. 1, Urk. 2) ärztlichen Beurteilung ist vorliegend auszugehen. 4. 4.1</w:t>
      </w:r>
    </w:p>
    <w:p>
      <w:r>
        <w:t>Die Beschwerdegegnerin setzte das Valideneinkommen auf Fr. 81‘756.-- fest, wobei sie v o m Tabelle nlohn TA 1 der LSE 2010 ( Zentralwert Männer, Kategorie 3, Ziff. 16-18, Herstellung von Holzwaren und Papier; Druckerzeugnisse )</w:t>
      </w:r>
    </w:p>
    <w:p>
      <w:r>
        <w:t>aus ging und dieses an die Nominallohnentwicklung und di e wöchentliche Arbeits zeit von 41.7 Stunden anpasste . Einspracheweise wurde dies noch gerügt ( Urk. 7/133 S. 3), blieb im Beschwerdeverfahren jedoch unbestritten ( Urk. 1, Urk. 2 S. 7 f.) . Wie die Beschwerdegegnerin zutreffend festhielt, übersteigt das so ermittelte Valideneinkommen das hypothetisch ermittelte Einkommen, wel ches der Versicherte ohne Kündigung bei der ehemaligen Arbeitgeberin hätte erzielen können ( Urk. 2, Urk. 7/124, Urk. 7/126).</w:t>
      </w:r>
    </w:p>
    <w:p>
      <w:r>
        <w:t>Auf das in Übereinstimmung mit der Akten- und Rechtslage (vorstehend E. 1.3) ermittelte Valideneinkommen</w:t>
      </w:r>
    </w:p>
    <w:p>
      <w:r>
        <w:t>von Fr. 81‘756.-- ist vorliegend abzustellen . 4.2</w:t>
      </w:r>
    </w:p>
    <w:p>
      <w:r>
        <w:t>Bei der Berechnung des Invalideneinkommen s stützte sich die Beschwer - degegne rin</w:t>
      </w:r>
    </w:p>
    <w:p>
      <w:r>
        <w:t>auf die fünf aufgelegten DAP-Profile Nr. 386823 (Hilfsar beiter), Nr. 3510 (Hilfsarbeiter), Nr. 6270 (Vormontage), Nr. 9955 (Anlageführer) und Nr. 2601 (Prüfer)</w:t>
      </w:r>
    </w:p>
    <w:p>
      <w:r>
        <w:t>und ermittelte gestützt darauf ein en Durchschnitt in der Höhe von Fr. 62‘87 0.80 ( Urk. 7/128, Urk. 2 S.</w:t>
      </w:r>
    </w:p>
    <w:p>
      <w:r>
        <w:rPr>
          <w:b/>
        </w:rPr>
        <w:t>E. 6</w:t>
      </w:r>
    </w:p>
    <w:p>
      <w:r>
        <w:t>November 2015 zur Kenntnis gebracht ( Urk.</w:t>
      </w:r>
    </w:p>
    <w:p>
      <w:r>
        <w:rPr>
          <w:b/>
        </w:rPr>
        <w:t>E. 8</w:t>
      </w:r>
    </w:p>
    <w:p>
      <w:r>
        <w:t>Ziff. 27, S. 7 Ziff. 23, S. 8 f. Ziff. 27-28) . Nicht sachgerecht sei sodann, dass nur die höheren Einkommen aus dem Monopolbereich der SUVA berücksichtigt würden ( Urk. 1 S. 7 f. Ziff. 24-25) und dass allein der SUVA, nicht aber den anderen Versiche rern , die Freiheit der Methodenwahl zwischen LSE und DAP zukomme</w:t>
      </w:r>
    </w:p>
    <w:p>
      <w:r>
        <w:t>( Urk. 1 S. 8 Ziff. 26) . Die Methode verkenne sodann den sog. Behindertenmalus ( Urk. 1 S. 9 ff. Ziff. 29 - 38) , und es sei ein statistisches Gutachten zum tatsächlichen Ver dienst von Behinderten einzuholen ( Urk. 1 S. 11 Ziff. 39-40) .</w:t>
      </w:r>
    </w:p>
    <w:p>
      <w:r>
        <w:t>In Bezug auf diese Einwände ist auf die Rechtsprechung des Bundesgerichts zu ver weisen. In Bestätigung des Grundsatzentscheid es BGE 129 V 472 setzte das Bundesgericht sich in BGE 139 V 592 eingehend damit auseinander (vgl. E. 7.1 zum alleinigen Zugang der SUVA zu den DAP-Daten, E. 7.2 zu r Herkunft der Löhne aus dem Industriebereich, E. 7.3 zur Nichtberücksichtigung eines Lei densabzugs bei der DAP-Methode, E. 7.6 zur statistischen Relevanz, E. 7.8 zur fehlenden Veröffentlichung der DAP-Profile) . I n Würdigung des gesamten Sys tems erachtete das Bundesgericht</w:t>
      </w:r>
    </w:p>
    <w:p>
      <w:r>
        <w:t>ein Abstellen auf die DAP-Profile zur Ermitt lung des Invalideneinkommens unter Einhaltung bestimmter Voraussetzungen hinsichtlich A blauf und Offenlegung als zulässig (vorstehend E. 1.4) . Diese An forderungen sind vorliegend erfüllt (vorstehend E. 4.2) , weshalb kein Anlass besteht, von der bundesgerichtlichen Rechtsprechung abzuweichen.</w:t>
      </w:r>
    </w:p>
    <w:p>
      <w:r>
        <w:t>Im Zusammenhang mit dem gestellten Editionsbegehren ist im Übrigen zu bemer ken, dass vorliegend das gesamte Suchresultat der</w:t>
      </w:r>
    </w:p>
    <w:p>
      <w:r>
        <w:t>336 DAP-Profile der Berufsgruppe offengelegt wurde ( Urk. 7/128 S. 2-12) . Dieses umfasst f ür jedes einzelne Profil die Berufs - und Funktions bezeichnung, de n Arbeitsort, und de n</w:t>
      </w:r>
    </w:p>
    <w:p>
      <w:r>
        <w:t>jeweiligen Mindest-, Maximal- und Durchschnittlohn für das Jahr 201 4. Mit der Offenlegung des gesamten Suchresultates der</w:t>
      </w:r>
    </w:p>
    <w:p>
      <w:r>
        <w:t>insgesamt 336 , den Abfragekri terien entsprechenden Arbeitsplatz-Profile geht die Beschwerdegegnerin über die vom Bundesgericht geforderte Offenlegung hinaus und genügt</w:t>
      </w:r>
    </w:p>
    <w:p>
      <w:r>
        <w:t>so zweifellos d en ve rfassungsmässigen Anforderungen.</w:t>
      </w:r>
    </w:p>
    <w:p>
      <w:r>
        <w:t>Zusammenfassend besteht im Hinblick auf die grundsätzlichen Einwände des Beschwerdeführers gegen die Ermittlung des Invalideneinkommens auf der Grundlage der DAP kein Anlass, von der Rechtsprechung des Bundesgerichts abzuweichen. 4.4</w:t>
      </w:r>
    </w:p>
    <w:p>
      <w:r>
        <w:t>Im Übrigen ist darauf hinzuweisen, dass selbst unter Anwendung des vom Be schwerdeführer geltend gemachten Tabellenlohns für das Jahr 2010 von Fr. 4‘901.--, der genannten Nominallohnentwicklung und einer Wochenarbeits zeit von 41.7 h sich jährlich ein Lohn von Fr. 63‘360.-- und damit ein höheres Einkommen ergibt als von der Beschwerdegegnerin aufgrund der DAP-Profile errechnet . Entgegen der Auffassung des Beschwerdeführers ( Urk. 1 S. 12 f. Ziff. 46 - 50) handelt es sich beim Leidensabzug nicht um einen Automatismus, sondern dieser erfolgt nur dann , wenn im Einzelfall Anhaltspunkte dafür beste hen, dass die versicherte Person ihre gesundheitlich bedingte (Rest-)Arbeitsfä higkeit nur mit unterdurchschnittlichem Einkommen verwerten kann. D ass ein Abzug nicht automatisch zu erfolgen hat, gilt umso mehr, wenn - wie vorlie gend - einem Versicherten noch eine volle Restarbeitsfähigkeit möglich ist .</w:t>
      </w:r>
    </w:p>
    <w:p>
      <w:r>
        <w:t>4.5</w:t>
      </w:r>
    </w:p>
    <w:p>
      <w:r>
        <w:t>Zusammenfassend ergibt sich somit ausgehend von einem Valideneinkommen von Fr. 81‘756.-- und einem Invalideneinkommen von gerundet Fr. 62‘871.-- ein Invaliditätsgrad von gerundet 23 % .</w:t>
      </w:r>
    </w:p>
    <w:p>
      <w:r>
        <w:t>5.</w:t>
      </w:r>
    </w:p>
    <w:p>
      <w:r>
        <w:t>Damit besteht der angefochtene Einspracheentscheid zu Recht, weshalb die dage gen erhobene Beschwerde abzuweisen ist. Das Gericht erkennt: 1.</w:t>
      </w:r>
    </w:p>
    <w:p>
      <w:r>
        <w:t>Die Beschwerde wird abgewiesen. 2.</w:t>
      </w:r>
    </w:p>
    <w:p>
      <w:r>
        <w:t>Das Verfahren ist kostenlos. 3.</w:t>
      </w:r>
    </w:p>
    <w:p>
      <w:r>
        <w:t>Zustellung gegen Empfangsschein an: - Rechtsanwalt David Husmann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