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UV.2014.00045 vom 31. August 2015</w:t>
      </w:r>
    </w:p>
    <w:p>
      <w:r>
        <w:t>ZH Sozialversicherungsgericht, 2015-08-31, DE</w:t>
      </w:r>
    </w:p>
    <w:p>
      <w:r>
        <w:rPr>
          <w:b/>
        </w:rPr>
        <w:t xml:space="preserve">Quelle: </w:t>
      </w:r>
      <w:r>
        <w:t>https://mcp.opencaselaw.ch/entscheid/zh_sozialversicherungsgericht_UV.2014.00045</w:t>
      </w:r>
    </w:p>
    <w:p>
      <w:r>
        <w:t>FR: ZH_SOZIALVERSICHERUNGSGERICHT UV.2014.00045 du 31 août 2015</w:t>
      </w:r>
    </w:p>
    <w:p>
      <w:r>
        <w:t>IT: ZH_SOZIALVERSICHERUNGSGERICHT UV.2014.00045 del 31 agosto 2015</w:t>
      </w:r>
    </w:p>
    <w:p>
      <w:pPr>
        <w:pStyle w:val="Heading2"/>
      </w:pPr>
      <w:r>
        <w:t>Erwägungen</w:t>
      </w:r>
    </w:p>
    <w:p>
      <w:r>
        <w:rPr>
          <w:b/>
        </w:rPr>
        <w:t>E. 2</w:t>
      </w:r>
    </w:p>
    <w:p>
      <w:r>
        <w:t>] und das Urteil 8C_592/2011 vom 15. Februar 2012 [Urk. 7/VI/14] sowie das Urteil des hiesigen Gerichts vom 31. Mai 2011 [UV.2009.00026; Urk. 7/VI/7]) und weil diese Problematik im an gefochtenen Einspracheentscheid selbstredend auch nicht thematisiert wurde, weshalb insoweit ein Nichteintretensentscheid zu ergehen hat,</w:t>
      </w:r>
    </w:p>
    <w:p>
      <w:r>
        <w:t>das Y.___ -Gutachten vom 4. Oktober 2013 (Urk. 7/VII/303) von Oberarzt med. pract . Z.___ , Facharzt FMH für Arbeitsmedizin, Assistenzarzt Dr. med. A.___ , PD Dr. med. B.___ , Leitender Oberarzt, Dr. med. C.___ , Fachärztin FMH für Neurologie, und Dr. med. D.___ , Facharzt für Psychiatrie und Psycho therapie, erstellt wurde,</w:t>
      </w:r>
    </w:p>
    <w:p>
      <w:r>
        <w:t>das Y.___ -Gutachten allen von der Praxis aufgestellten und oben wiedergegebe nen Anforderungen an ein Gutachten gerecht wird und ihm deshalb volle Beweiskraft zukommt,</w:t>
      </w:r>
    </w:p>
    <w:p>
      <w:r>
        <w:t>das Gutachten, das inklusive Beilagen 122 Seiten umfasst, ausserordentlich umfangreich ist und unter detaillierter Berücksichtigung der vorhandenen medi zinischen Akten, die inzwischen ein nahezu unüberblickbares Ausmass ange nommen haben, abgefasst wurde,</w:t>
      </w:r>
    </w:p>
    <w:p>
      <w:r>
        <w:t>die vom Beschwerdeführer erhobene Kritik, wonach er von PD Dr. B.___ , den er gelegentlich auch schon als „Hund“ zu titulieren beliebte (vgl. Urk. 7/VII/316), lediglich während einer Minute und zehn Sekunden untersucht worden sei (vgl. Urk. 1), (selbst wenn sie zuträfe) allein schon deshalb ins Leere ge ht , weil die eigentliche orthopädische Untersuchung von Dr. A.___ durchge führt wurde (Supervision durch PD Dr. B.___ [vgl. Urk. 7/VII/3</w:t>
      </w:r>
    </w:p>
    <w:p>
      <w:r>
        <w:rPr>
          <w:b/>
        </w:rPr>
        <w:t>E. 03</w:t>
      </w:r>
    </w:p>
    <w:p>
      <w:r>
        <w:t>S. 103 ]) und gerade das orthopädische Teilgutachten besonders umfassend ist (vgl. Urk. 7/VII/ 303 S. 101-123),</w:t>
      </w:r>
    </w:p>
    <w:p>
      <w:r>
        <w:t>die Y.___ -Gutachter zum Schluss kamen, dass gesamtmedizinisch orthopädisch fassbare Befunde im Vordergrund des Krankheitsbildes s tünden, wobei die Dis krepanz zwischen objektivierbaren Befunden und den vom Beschwerdeführer geklagten Schmerzen durch eine parallel vorliegende somatoforme</w:t>
      </w:r>
    </w:p>
    <w:p>
      <w:r>
        <w:t>Schmerz störung erklärt werden könne (Urk. 7/VII/ 303 S. 74),</w:t>
      </w:r>
    </w:p>
    <w:p>
      <w:r>
        <w:t>sich aus dem Gutachten weiter ergibt, dass die diagnostizierte somatoforme Schmerzstörung mit psychischen und somatischen Faktoren überwiegend wahr scheinlich auf die erlittenen Unfälle zurückzuführen ist , aber nicht zu einer unüberwindbaren dauernden Einschrä nkung der Arbeitsfähigkeit führt, und dass die Einschränkung der Arbeitsfähigkeit vielmehr ausschliesslich somatisch zu begründen ist (Urk. 7/VII/ 303 S. 76),</w:t>
      </w:r>
    </w:p>
    <w:p>
      <w:r>
        <w:t>hinsichtlich der Kausalität der somatischen Gesundheitsbeeinträchtigungen (vgl. zu den zahlreichen gestellten Diagnosen Urk. 7/VII/ 303 S. 70-72) die Y.___ -Gut achter ausführten, dass sie für keine der vorliegenden somatischen Pathologien einen hinreichend wahrscheinlichen Kausalzusammenhang objektiv begründen könnten , und zwar weder für das Zervikalsyndrom , noch das Lumbalsyndrom, noch die Beschwerden an den beiden Schultern, noch die Gesundheitsstörung am rechten Knie ( vgl. dazu im Einzelnen Urk. 7/VII/ 303 S.</w:t>
      </w:r>
    </w:p>
    <w:p>
      <w:r>
        <w:t>66-70),</w:t>
      </w:r>
    </w:p>
    <w:p>
      <w:r>
        <w:t>die Ausführungen und Begründungen und namentlich auch die Kausalitätsbeur teilungen im Y.___ -Gutachten nachvollziehbar un d einleuchtend sind, weshalb auf die Einschätzungen der Gutachter abzustellen ist,</w:t>
      </w:r>
    </w:p>
    <w:p>
      <w:r>
        <w:t>aus dem Umstand, dass die somatischen Gesundheitsbeeinträchtigungen als unfallfre md zu qualifizieren sind, ohne Weiteres folgt , dass diesbezüglich die Leistungspflicht der Beschwerdegegnerin zu verneinen ist,</w:t>
      </w:r>
    </w:p>
    <w:p>
      <w:r>
        <w:t>die von den Gutachtern als unfallbedingt anerkannte somatoforme</w:t>
      </w:r>
    </w:p>
    <w:p>
      <w:r>
        <w:t>Schmerz stö rung zu keiner Einschränkung der Arbeitsfähigkeit führt, weshalb sich auch da durch kein Rentenanspruch ableiten lässt und diesbezüglich die Adäquanz</w:t>
      </w:r>
    </w:p>
    <w:p>
      <w:r>
        <w:t>man gels erheblicher Schwere der Unfallereignisse</w:t>
      </w:r>
    </w:p>
    <w:p>
      <w:r>
        <w:t>ohnehin nicht gegeben wäre ,</w:t>
      </w:r>
    </w:p>
    <w:p>
      <w:r>
        <w:t>sich der angefochtene Einspracheentscheid auch insoweit als korrekt erweist, als darin die rechtskräftig bestä tigte Invalidenrente von 26 % au s formellen Grün den unangetastet belassen wurde, hingegen die in der Zeit vom 1. Oktober 2008 bis 30. November 2013 zu viel ausgerichteten Rentenleistungen zurückgefordert wurden,</w:t>
      </w:r>
    </w:p>
    <w:p>
      <w:r>
        <w:t>aus dem Gesagten folgt, dass die Beschwerde, soweit darauf einzutreten ist, abzu weisen ist; erkennt das Gericht: 1.</w:t>
      </w:r>
    </w:p>
    <w:p>
      <w:r>
        <w:t>Die Beschwerde wird abgewiesen , soweit darauf ein ge treten wird . 2.</w:t>
      </w:r>
    </w:p>
    <w:p>
      <w:r>
        <w:t>Das Verfahren ist kostenlos.</w:t>
      </w:r>
    </w:p>
    <w:p>
      <w:r>
        <w:rPr>
          <w:b/>
        </w:rPr>
        <w:t>E. 3</w:t>
      </w:r>
    </w:p>
    <w:p>
      <w:r>
        <w:t>Zustellung gegen Empfangsschein an: - X.___ - Schweizerische Unfallversicherungsanstalt - Bundesamt für Gesundheit</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