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UV.2014.00035 vom 27. November 2015</w:t>
      </w:r>
    </w:p>
    <w:p>
      <w:r>
        <w:t>ZH Sozialversicherungsgericht, 2015-11-27, DE</w:t>
      </w:r>
    </w:p>
    <w:p>
      <w:r>
        <w:rPr>
          <w:b/>
        </w:rPr>
        <w:t xml:space="preserve">Quelle: </w:t>
      </w:r>
      <w:r>
        <w:t>https://mcp.opencaselaw.ch/entscheid/zh_sozialversicherungsgericht_UV.2014.00035</w:t>
      </w:r>
    </w:p>
    <w:p>
      <w:r>
        <w:t>FR: ZH_SOZIALVERSICHERUNGSGERICHT UV.2014.00035 du 27 novembre 2015</w:t>
      </w:r>
    </w:p>
    <w:p>
      <w:r>
        <w:t>IT: ZH_SOZIALVERSICHERUNGSGERICHT UV.2014.00035 del 27 novembre 2015</w:t>
      </w:r>
    </w:p>
    <w:p>
      <w:pPr>
        <w:pStyle w:val="Heading2"/>
      </w:pPr>
      <w:r>
        <w:t>Erwägungen</w:t>
      </w:r>
    </w:p>
    <w:p>
      <w:r>
        <w:rPr>
          <w:b/>
        </w:rPr>
        <w:t>E. 50</w:t>
      </w:r>
    </w:p>
    <w:p>
      <w:r>
        <w:t>ATSG zugrunde lag . Denn die Beschwerdeg egnerin nahm darin Bezug auf ihren</w:t>
      </w:r>
    </w:p>
    <w:p>
      <w:r>
        <w:t>Erledigungsvor schlag vom 8. April 2004, mit dem sich der Rechtsvertreter der Beschwerdefüh rerin als einverstanden erklärt habe ( Urk. 10/G169 mit Hinweis auf Urk. 10/G168), und der Inhalt der Verfügung deckt sich mit dem Inhalt jenes Vorschlags, dessen Gültigkeit auf den Vergleichsfall beschränkt war ( vgl. Urk. 10/G168 S. 4). Zwar kann nach der Rechtsprechung des Bundesgerichts auch eine Verfügung, die einen vergleich s weise festgesetzte n Anspruch festlegt, in Wiederer wägung gezogen werden. Das Bundesgericht weist jedoch darauf hin, dass den Parteien mit der Möglichkeit des Vergleichsabschlusses die Befug nis verliehen werde, eine Regelung zu treffen, die von der Regelung des Rechts verhältnisses abweiche, zu der es bei umfassender Klärung des Sachverhalts und der Rechtslage gekommen wäre (BGE 140 V 77 E. 3.2.1), und dass deshalb höhere Anforderungen für eine Wiedererwägung gälten (BGE 140 V 77 E. 3.2.1 und E. 3.2.2).</w:t>
      </w:r>
    </w:p>
    <w:p>
      <w:r>
        <w:t>Wenn also die Beschwerdegegnerin von an sich nötigen weiteren medizinischen Abklärungen absah und sich mit der Beschwerdeführer in vergleichsweise einigte, so kann die Unterlassung von Abklärungen später nicht als Wiederer wägungsgrund</w:t>
      </w:r>
    </w:p>
    <w:p>
      <w:r>
        <w:t>herangezogen werden. Des Weiteren lassen auch keine späteren medizinischen Erkenntnisse die ursprüngliche Rentenhöhe als zweifellos unrichtig erscheinen. Denn das Gutachten von Dr. J.___ und Dr. K.___ vom Mai 2013 ist nicht nur für Beantwortung der Frage nach einer gesundheitlichen Veränderung unzureichend, sondern genügt darüber hinaus aus denselben, oben dargelegten Gründen a uch nicht für die Beantwortung der weiteren Frage nach den verbleibenden gesundheitlichen Einschränkungen . 2.5 2.5.1</w:t>
      </w:r>
    </w:p>
    <w:p>
      <w:r>
        <w:t>Da es die medizinischen Grundlagen nach dem Gesagten nicht erlauben , d ie Frage nach dem Vorliegen eines Revisionsgrundes und die weitere Frage nach den verbleibenden gesundheitlichen Einschränkungen zu beantworten, sind weitere medizinische Abklärungen in Form einer umfassenden Begutachtung mit Einbezug sämtlicher Vorakten</w:t>
      </w:r>
    </w:p>
    <w:p>
      <w:r>
        <w:t>erforderlich. Die Vornahme einer Rückwei sung an die Beschwerdegegnerin mit der Folge, dass nach erfolgter Abklärung eine allfällige Rentenherabsetzung auf den ursprünglich verfügten Zeitpunkt des Erlasses der Verfügung vom 3 1. Oktober 2013 hin (beziehungsweise auf den ersten Tag des Monats, welcher der Zustellung dieser Verfügung an die Beschwerdeführerin folgt; vgl. BGE 140 V 70 E. 4.2) erfolgen könnte (vgl. BGE 106 V 18, bestätigt in BGE 129 V 370), verbietet sich jedoch aus den nachfol genden Gründen. 2.5.2</w:t>
      </w:r>
    </w:p>
    <w:p>
      <w:r>
        <w:t>Nach der Rechtsprechung des Bundesgerichts ist es einer rentenbeziehenden Person, deren Arbeitsfähigkeit sich medizinisch attestiert verbessert hat, grundsätzlich zu zu muten, die verbesserte Arbeitsfähigkeit mit Massnahmen der Selbsteingliederung zu verwerten . Dies gilt jedoch im Sinne einer Ausnahme dann nicht, wenn eine Person sehr lange eine Rente bezogen hat und deshalb anzunehmen ist, dass die Erfordernisse des Arbeitsmarktes ihr nicht erlauben, ihr (wiedergewonnenes) Leistungspotential ohne vorgängige Durchführung befähigender Massnahmen allein durch Eigenanstrengung fruchtbar zu machen . Rechtsprechungsgemäss kommt diese Ausnahme dort zum Tragen, wo eine Person die Rente im Zeitpunkt der Rentenaufhebung oder -herabsetzung seit mehr als 15 Jahren bezieht oder das 5 5. Altersjahr zurückgelegt hat . Sie gilt nicht nur für die revi sionsweise, sondern auch für die wiedererwägungsweise Rentenherabsetzung oder -aufhebung ( vgl. Urteil des Bundesgerichts 9C_228/2010 vom 2 6. April 2011, E. 3.1 und E. 3.3 mit Hinweisen ; siehe auch BGE 141 V 5 mit Hinweisen). 2.5.3</w:t>
      </w:r>
    </w:p>
    <w:p>
      <w:r>
        <w:t>Mit dem Bezug einer Rente der Invalidenversicherung seit 1990 fällt die Beschwer deführerin zweifellos in die Kategorie der Personen, die invalidenver sicherungsrechtlich nicht ohne Weiteres auf den Weg der Selbsteingliederung verwiesen werden können. Nichts anderes kann für die Eingliederung im vorlie genden, unfallversicherungsrechtlichen Verfahren gelten. Die Beschwerdeführe rin bezog die Rente der Unfallversicherung zwar erst seit dem Jahr 2004, hatte aber in der Zeit davor Anspruch auf Taggelder aufgrund einer 100%igen Arbeitsunfähigkeit (vgl. Urk. 10/G169 S. 3). Sie war demnach bei der strittigen Rentenherabsetzung seit mehr als 23 Jahren vom Arbeitsmarkt abwesend. Zudem erstreckte sich diese Abwesenheit fast auf die gesamte Dauer des ihr möglichen beruflich aktiven Lebens; sie war im Zeitpunkt des Unfalles vom August 1988 erst 18 Jahre alt gewesen und bezog die ganze Invalidenrente seit dem 2 0. Altersjahr .</w:t>
      </w:r>
    </w:p>
    <w:p>
      <w:r>
        <w:t>Dementsprechend hatte die IV-Stelle im Vorbescheid vom 2. September 2013 ausdrücklich Abklärungen zum beruflichen Potential der Beschwerdeführerin vorgesehen, bevor sie die bisherige Rente aufheben würde ( Urk. 10/G196 ). Diese Abklärungen fanden in der Folge im November 2014 auch tatsächlich statt, wie der Bericht der M.___ vom 1. Dezember 2014 zeigt ( Urk. 27/16 ), und bis zum Zeitpunkt des gerichtlichen Aktenbeizugs vom 2. September 2015 ( Urk. 25) hatte die IV-Stelle noch keine Rentenaufhebung verfügt . Da die Rente der Unfallversicherung nach dem vorstehend Ausgeführten in wesentlichem Mass auf denselben gesundheitlichen Beeinträchtigungen basiert wie die Rente der Invalidenversicherung, wäre es selbst bei Vorliegen eines Revisions- oder Wie dererwägungsgrundes geboten gewesen, dass die Beschwerdegegnerin vor einer allfälligen Rentenherabsetzung die Ergebnisse der beruflichen Abk lärungen der IV-Stelle abgewartet hätte . Und da die Abklärungen der IV Stelle zeitlich nach dem Erlass der Verfügung vom 3 1. Oktober 2013 und des angefochtenen Ein spracheentscheids vom 8. Januar 2014 erfolgten, bleibt es im gerichtlich zu beurteilenden Zeitraum bis zum Erlass des Einspracheentscheids</w:t>
      </w:r>
    </w:p>
    <w:p>
      <w:r>
        <w:t>bei der bisheri gen, auf einem Invaliditätsgrad von 100 % basierenden Rente. 2.6</w:t>
      </w:r>
    </w:p>
    <w:p>
      <w:r>
        <w:t>Der angefochtene Einspracheentscheid vom 8. Januar 2014 ist damit in Gutheis sung der Beschwerde aufzuheben. 3.</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Unter Berücksichtigung dieser Kri terien rechtfertigt es sich, der Beschwerde-führerin eine Prozessentschädigung von Fr. 3‘300.-- (inklusive Barauslagen und Mehrwertsteuer) zuzusprechen. Das Gericht erkennt: 1.</w:t>
      </w:r>
    </w:p>
    <w:p>
      <w:r>
        <w:t>In Gutheissung der Beschwerde wird der angefochtene Einspracheentscheid der Unf all versicherung Stadt Zürich vom 8. Januar 2014 aufgehoben. 2.</w:t>
      </w:r>
    </w:p>
    <w:p>
      <w:r>
        <w:t>Das Verfahren ist kostenlos. 3.</w:t>
      </w:r>
    </w:p>
    <w:p>
      <w:r>
        <w:t>Die Beschwerdegegnerin wird verpflichtet, der Beschwerdeführerin eine Prozessent schädigung von Fr. 3'300 .-- ( inklusive Barauslagen und Mehrwertsteuer ) zu bezahlen. 4.</w:t>
      </w:r>
    </w:p>
    <w:p>
      <w:r>
        <w:t>Zustellung gegen Empfangsschein an: - Rechtsanwalt Markus Bischoff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