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UV.2013.00197 vom 21. April 2015</w:t>
      </w:r>
    </w:p>
    <w:p>
      <w:r>
        <w:t>ZH Sozialversicherungsgericht, 2015-04-21, DE</w:t>
      </w:r>
    </w:p>
    <w:p>
      <w:r>
        <w:rPr>
          <w:b/>
        </w:rPr>
        <w:t xml:space="preserve">Quelle: </w:t>
      </w:r>
      <w:r>
        <w:t>https://mcp.opencaselaw.ch/entscheid/zh_sozialversicherungsgericht_UV.2013.00197</w:t>
      </w:r>
    </w:p>
    <w:p>
      <w:r>
        <w:t>FR: ZH_SOZIALVERSICHERUNGSGERICHT UV.2013.00197 du 21 avril 2015</w:t>
      </w:r>
    </w:p>
    <w:p>
      <w:r>
        <w:t>IT: ZH_SOZIALVERSICHERUNGSGERICHT UV.2013.00197 del 21 aprile 2015</w:t>
      </w:r>
    </w:p>
    <w:p>
      <w:pPr>
        <w:pStyle w:val="Heading2"/>
      </w:pPr>
      <w:r>
        <w:t>Erwägungen</w:t>
      </w:r>
    </w:p>
    <w:p>
      <w:r>
        <w:rPr>
          <w:b/>
        </w:rPr>
        <w:t>E. 1.1</w:t>
      </w:r>
    </w:p>
    <w:p>
      <w:r>
        <w:t>Im verwaltungsgerichtlichen Beschwerdeverfah ren sind grund sätzlich nur Rechts verhältnisse zu überprüfen beziehungsweise zu beur teilen, zu denen die zuständige Verwaltungs behörde vorgän gig verbindlich - in Form einer Verfü gung beziehungsweise eines Einspracheentscheids - 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1.2</w:t>
      </w:r>
    </w:p>
    <w:p>
      <w:r>
        <w:t>Ab dem 1. März 2010 war X.___ als Verputzmaurer respektive Fassaden bauer bei der Firma B.___ angestellt und damit erneut bei der SUVA versichert ( Urk. 10/1). A m 3 1. Mai 2011 rutschte er auf ein er Treppe an seinem Wohnort aus und schlug mit dem Rücken an einer Stufenkante auf ( Urk. 10/1 und Urk. 10/35). Nachdem Dr. med. C.___ , Facharzt FMH für Radiologie, am 7. Juni 2011 eine MRI-Untersuchung der Lendenwirbelsäule des Ve rsicherten ( Urk. 10/16 und Urk. 10/ 25 S. 2) und Dr. med. D.___ , Facharzt FMH für Neurologie, am 16 . Juni 2011</w:t>
      </w:r>
    </w:p>
    <w:p>
      <w:r>
        <w:t>eine neurologische Untersuchung mittels Nadel-EMG ( Urk. 10/7) durchgeführt hatte n , diagnostizierte Dr. med. E.___ , Fachärz tin FMH für Physikalische Medizin, am 1 1. August 2011</w:t>
      </w:r>
    </w:p>
    <w:p>
      <w:r>
        <w:t>ein posttraumatisches lumboradikuläres Reizsyndrom bei einer Diskushernie L5/S1 und ein Bone</w:t>
      </w:r>
    </w:p>
    <w:p>
      <w:r>
        <w:t>bruise im Processus</w:t>
      </w:r>
    </w:p>
    <w:p>
      <w:r>
        <w:t>transversus</w:t>
      </w:r>
    </w:p>
    <w:p>
      <w:r>
        <w:t>des Lendenwirbelkörpers ( LWK )</w:t>
      </w:r>
    </w:p>
    <w:p>
      <w:r>
        <w:rPr>
          <w:b/>
        </w:rPr>
        <w:t>E. 1.2.1</w:t>
      </w:r>
    </w:p>
    <w:p>
      <w:r>
        <w:t>Über Leistungen, Forderungen und Anordnungen, die erheblich sind oder mit denen die betroffene Person nicht einverstanden ist, hat der Versicherungsträger schriftlich Verfügungen zu erlassen ( Art. 49 Abs. 1 des Bundesgesetzes über den Allgemeinen Teil des Sozialversicherungsrechts [ATSG]). Im gleichen Sinn bestimmte Art. 99 Abs. 1 des Bundesgesetzes über die Unfallversicherung</w:t>
      </w:r>
    </w:p>
    <w:p>
      <w:r>
        <w:t>( UVG ) in der bis Ende 2002 gültig gewesenen Fassung, der Versicherer habe über er hebliche Leistungen und Forderungen und über solche, mit denen der Betroffe ne nicht einverstanden ist, schriftliche Verfügungen zu erlassen. Leistungen, Forderungen und Anordnungen, die nicht unter Art. 49 Abs. 1 ATSG fallen, können in einem formlosen Verfahren behandelt werden ( Art. 51 Abs. 1 ATSG). Die betroffene Person kann den Erlass einer Verfügung verlangen ( Art. 51 Abs. 2 ATSG). Der bereits vor dem Inkrafttreten des ATSG gültig gewesene, unverändert gebliebene Art. 124 der Verordnung über die Unfallversicherung (UVV) hält in lit . b fest, eine schriftliche Verfügung sei unter anderem zu erlas sen über die Verweigerung von Versicherungsleistungen. Mit dem Inkrafttreten des ATSG hat sich in diesem Punkt gegenüber der Rechtslage nach Art. 99 Abs. 1 UVG (in der bis Ende 2002 gültig gewesenen Fassung) nichts geändert. Hat der Versicherer die (ganze oder teilweise) Verweigerung von – vorüber ge hen den (Heilbehandlung, Taggeld) und/oder dauerhaften (Invalidenrente, Integ ritätsentschädigung ) - Leistungen zu Unrecht nicht in Verfügungsform, sondern formlos mitgeteilt und ist die betroffene Person damit nicht einverstanden, hat sie grundsätzlich innerhalb eines Jahres zu intervenieren. Diesfalls hat der Ver sicherer eine Verfügung zu erlassen, gegen welche Einsprache erhoben werden kann. Ohne fristgerechte Intervention erlangt der Entscheid rechtliche Wirksam keit, wie wenn er zulässigerweise im Rahmen von Art. 51 Abs. 1 ATSG ergan gen wäre (Urteil des Bundesgerichts 8C_465/2011 vom 7. September 2011 E. 3.1 mit Hinweis auf BGE 134 V 145 und 132 V 412 sowie Urteil des Bundesgerichts 8C_506/2008 vom 5. März 2009).</w:t>
      </w:r>
    </w:p>
    <w:p>
      <w:r>
        <w:rPr>
          <w:b/>
        </w:rPr>
        <w:t>E. 1.2.2</w:t>
      </w:r>
    </w:p>
    <w:p>
      <w:r>
        <w:t>Im das erste Unfallereignis (vom 2 6. Juli 2007) betreffenden Verwaltungsv er fahren teilte die Beschwerdegegnerin mit Schreiben vom 2 6. Januar 2009 mit, dass sie die Heilkosten- und Taggeldleistungen per 2 8. Februar 2009 einstellen werde (Urk. 11/64). Am 2 7. April 2009 informierte sie den Beschwerdeführer darüber, dass gestützt auf die kreisärztliche Beurteilung die neusten Untersu chungen in der Klinik A.___ keine neuen Befunde ergeben hätten. Sie halte deshalb an ihrem Schreiben vom 2 6. Januar 2009 fest. Sie erklärte sich jedoch – wie eingangs bereits erwähnt – dazu bereit, dem Versicherten auf grund seiner „de facto Arbeitslosigkeit“ die Taggeldleistungen bis am 3 0. Juni 2009 auszurichten ( Urk. 11/70). Bezugnehmend auf die vorerwähnten Schreiben teilte die Beschwerdegegnerin am 2 4. Juli 2009 mit, dass sie dem Beschwerdeführer das Taggeld ohne genauere Überprüfung des Sachverhalts bis am 3</w:t>
      </w:r>
    </w:p>
    <w:p>
      <w:r>
        <w:rPr>
          <w:b/>
        </w:rPr>
        <w:t>E. 2</w:t>
      </w:r>
    </w:p>
    <w:p>
      <w:r>
        <w:t>(Urk. 10/19). In der Folge erbrachte die SUVA die gesetzlichen Leistungen. Mit Verfügung vom 2 8. August 2012 stellte sie diese – unter Hinweis darauf, dass ausschliess lich unfallunabhängige Beschwerden die gegenwärtige Arbeitsunfähigkeit und Be handlungsbedürftigkeit des Versicherten beding t en – per 1. Juli 2012 ein (Urk. 10/105). Nachdem X.___ dagegen Einsprache erhoben hatte (Urk. 10/107) , holte die SUVA eine kreisärztliche Beurteilung e in ( Urk. 10/121 ) und bestätigte gestützt darauf mit Einspracheentscheid vom</w:t>
      </w:r>
    </w:p>
    <w:p>
      <w:r>
        <w:rPr>
          <w:b/>
        </w:rPr>
        <w:t>E. 4</w:t>
      </w:r>
    </w:p>
    <w:p>
      <w:r>
        <w:t>Juli 2013 ihre Verfügung vom 2 8. August 2012 ( Urk. 10/122 = Urk. 2). 2.</w:t>
      </w:r>
    </w:p>
    <w:p>
      <w:r>
        <w:t>Gegen den Einspracheentscheid vom 4. Juli 2013 erhob der Versicherte am 6. September 2013 Beschwerde und beantragte, der angefochtene Entscheid sei aufzuheben, die Abklärungen seien durch ein medizinisches Gutachten zu ergän zen und es seien ihm die gesetzlichen Leistungen über den Zeitpunkt der Leistungseinstellung hinaus auszurichten ( Urk. 1 S. 2). Mit Beschwerdeantwort vom 1 2. Dezember 2013 schloss die SUVA auf Abweisung der Beschwerde (Urk. 9). Mit Replik vom 2 1. Februar 2014 hielt der Beschwerdeführer an seinen Anträgen fest ( Urk. 16). Die Beschwerdegegnerin verzichtete in der Folge auf eine Duplik, was de m Versicherten am 7. April 2014 zur Kenntnis gebracht wurde ( Urk. 19). 3.</w:t>
      </w:r>
    </w:p>
    <w:p>
      <w:r>
        <w:t>Auf die Ausführungen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