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UV.2013.00192 vom 31. Oktober 2013</w:t>
      </w:r>
    </w:p>
    <w:p>
      <w:r>
        <w:t>ZH Sozialversicherungsgericht, 2013-10-31, DE</w:t>
      </w:r>
    </w:p>
    <w:p>
      <w:r>
        <w:rPr>
          <w:b/>
        </w:rPr>
        <w:t xml:space="preserve">Quelle: </w:t>
      </w:r>
      <w:r>
        <w:t>https://mcp.opencaselaw.ch/entscheid/zh_sozialversicherungsgericht_UV.2013.00192</w:t>
      </w:r>
    </w:p>
    <w:p>
      <w:r>
        <w:t>FR: ZH_SOZIALVERSICHERUNGSGERICHT UV.2013.00192 du 31 octobre 2013</w:t>
      </w:r>
    </w:p>
    <w:p>
      <w:r>
        <w:t>IT: ZH_SOZIALVERSICHERUNGSGERICHT UV.2013.00192 del 31 ottobre 2013</w:t>
      </w:r>
    </w:p>
    <w:p>
      <w:pPr>
        <w:pStyle w:val="Heading2"/>
      </w:pPr>
      <w:r>
        <w:t>Erwägungen</w:t>
      </w:r>
    </w:p>
    <w:p>
      <w:r>
        <w:rPr>
          <w:b/>
        </w:rPr>
        <w:t>E. 1</w:t>
      </w:r>
    </w:p>
    <w:p>
      <w:r>
        <w:t>X.___ erlitt am 2 2. Augus t 2008 einen Sturz. Für dessen Folgen über nahm die Allianz Suisse Versicherungs-Gesellschaft (nachfolgend: Allianz) die gesetz li che n Leistungen (Heilbehandlung, Taggeld). Mit Verfügung vom 1 4. März 2013</w:t>
      </w:r>
    </w:p>
    <w:p>
      <w:r>
        <w:t>verneinte sie d en Kausalzusammenhang zwischen dem Sturzereignis und den noch bestehenden psychischen Beschwerden</w:t>
      </w:r>
    </w:p>
    <w:p>
      <w:r>
        <w:t>( Urk. 7/108). Dagegen erhob der Ver sicherte am 9. A pril 2013 Einsprache ( Urk. 7/115 ).</w:t>
      </w:r>
    </w:p>
    <w:p>
      <w:r>
        <w:t>Im parallel laufenden invalidenversicherungsrechtlichen Verfahren teilte die In validenversicherung dem Versich erten am 2 3. Mai 2013 mit , dass sie eine polydisziplinäre medizinische Untersuchung für erforderlich erachte. Ohne sei nen schrift lich begründeten Gegenbericht innert 10 Tagen würde eine Gutachter stelle beauftragt, deren Wahl nach dem Zufallsprinzip erfolge ( Urk. 7/118). Nach dem die Allianz mit einer Orientierungskopie bedient worden war, ent schied sie sich im Rahmen des laufenden Einspracheverfahrens , si ch dieser polydisziplinären Begutachtung anzuschliessen. Sie stellte dem Versicherten mit Schreiben vom 4. Juni 2013 ihren (ergänzenden) Fragenka talog zur Vernehm lassung sowie zur weiteren Ergänzung zu ( Urk. 7/120).</w:t>
      </w:r>
    </w:p>
    <w:p>
      <w:r>
        <w:t>Der Versicherte unterbreitete mit Eingabe vom 1 4. Juni 2013 Ergänzungsfragen und beantragte zudem die Streichung und Änderung einiger Fragen der Allianz ( Urk. 7/122). Diese übernahm die Ergänzungsfragen, verweigerte aber die Änderung oder Streichung ihrer eigenen Fragen ( Urk. 7/123). Daraufhin verlangte der Versicherte wiederholt, erstmals mit Schreiben vom 2 7. Juni 2013, den Erlass einer Zwischenverfügung über den Inhalt des Fragenkata logs ( Urk. 7/128, 7/1 30, 7/132), was die Allianz ablehnte</w:t>
      </w:r>
    </w:p>
    <w:p>
      <w:r>
        <w:t>( Urk. 7/129 , 7/131, 7/133 ) .</w:t>
      </w:r>
    </w:p>
    <w:p>
      <w:r>
        <w:rPr>
          <w:b/>
        </w:rPr>
        <w:t>E. 2</w:t>
      </w:r>
    </w:p>
    <w:p>
      <w:r>
        <w:t>Mit BGE 137 V 210 hat das Bundesgericht im Zusammenhang mit der Einho lung von Administrativ- und Gerichtsgutachten bei Medizinischen Abklärungsstellen (MEDAS) die bisherige Rechtsprechung, wonach der Anordnung einer Begutachtung durch den Sozialversicherer kein Verfügungscharakter zukommt (BGE 132 V 93), geändert und festgehalten, dass die (bei fehlendem Konsens zu treffende) Anordnung einer Expertise in die Form einer Zwischenverfügung zu kleiden sei , welche dem Verfügungsbegriff gemäss Art. 5 des Bundesgesetzes über</w:t>
      </w:r>
    </w:p>
    <w:p>
      <w:r>
        <w:t>das Verwaltungsverfahren ( VwVG ) entspreche und die beim kantonalen Versiche rungsgericht (bzw. Bundesve rwaltungsgericht) anfechtbar sei (BGE 137 V 210 E.</w:t>
      </w:r>
    </w:p>
    <w:p>
      <w:r>
        <w:t>3.4.2.6 und 3.4.2.7 ). Beschwerdeweise geltend gemacht wer den könnten mate rielle Einwendungen beispielsweise des Inhalts, die in Aus sicht genommene Be gut achtung sei nicht notwendig, weil sie - mit Blick auf ei nen bereits um fassend abgeklärten Sachverhalt - bloss einer „ second</w:t>
      </w:r>
    </w:p>
    <w:p>
      <w:r>
        <w:t>opinion " entspreche. Nach wie vor gerügt werden könnte n (personenbezogene) Ausstands gründe . Nicht gehört wer den könne ind essen das Vorbringen, die Abgeltung der Gut achten aus Mitteln der Invalidenve rsicherung führe zu einer Befan genheit der MEDAS (E. 3.4.2.7). Im Weiteren führte es aus, dass sinngemäss aus den bis her dargelegten Gründen der versicherten Person - unter Aufgabe der bishe ri gen Rechtsprechung (BGE 133 V 446) - ein Anspruch einzuräumen sei, sich vorgängig zu den Gutachter fragen zu äussern. Mithin hätten die IV-Stellen der versicherten Person künftig mit der verfügun gsmässigen Anordnung der Begut achtung den vorgesehenen Ka ta log der Expertenfragen zur Stellungnahme zu unterbreiten (E. 3.4.2.9). Diese zur Invalidenversicherung ergangene Rechtsprechung findet , soweit sie vorlie gend zitiert wurde, auch im Bereich der Unfallversicherung</w:t>
      </w:r>
    </w:p>
    <w:p>
      <w:r>
        <w:t>Anwendung</w:t>
      </w:r>
    </w:p>
    <w:p>
      <w:r>
        <w:t>( BGE 138 V 318 ) .</w:t>
      </w:r>
    </w:p>
    <w:p>
      <w:r>
        <w:rPr>
          <w:b/>
        </w:rPr>
        <w:t>E. 3</w:t>
      </w:r>
    </w:p>
    <w:p>
      <w:r>
        <w:t>Zustellung gegen Empfangsschein an: - Rechtsanwältin Franziska Venghaus - Allianz Suisse Versicherungs-Gesellschaft - Bundesamt für Gesundheit</w:t>
      </w:r>
    </w:p>
    <w:p>
      <w:r>
        <w:rPr>
          <w:b/>
        </w:rPr>
        <w:t>E. 3.1</w:t>
      </w:r>
    </w:p>
    <w:p>
      <w:r>
        <w:t>Zwischen den Partei en ist strittig, ob bei fehlendem Konsens über den Inhalt des Fragenkatalogs ein Anspruch auf Erlass einer Zwischenverfügung besteht .</w:t>
      </w:r>
    </w:p>
    <w:p>
      <w:r>
        <w:rPr>
          <w:b/>
        </w:rPr>
        <w:t>E. 3.2</w:t>
      </w:r>
    </w:p>
    <w:p>
      <w:r>
        <w:t>Das Bundesgericht hat - in Änderung einer früheren Rechtsprechung – festgehalten, es sei der versicherten Person „ein Anspruch einzuräumen, sich vorgängig zu den Gutachterfragen zu äussern“. Mithin würden „die IV-Stellen der versicherten Person künftig zusammen mit der verfügungsmässigen Anordnung der Begutachtung den vorgesehenen Katalog der Expertenfragen zur Stellungnahme unterbreiten. Führt die damit eröffnete Mitwirkungsmöglichkeit der betroffenen Person zu einer einzelfall adäquaten Fragestellung, so trägt dies im Übrigen zur gutachtlichen Qualität we sentlich bei“ (BGE 137 V 210 E. 3.4.2.9). In späteren Entscheiden wurde unter Bezug nahme auf den genannten BGE ausgeführt, die IV-Stellen unterbreiteten „den vor gesehenen Katalog der Expertenfragen zur Stellungnahme“ (BGE 138 V 271 E. 1.1), beziehungsweise „dass der versicherten Person vorgängige Mitwirkungsrechte in dem Sinne zustehen, dass sie sich zu den Gutachterfragen äussern kann“ (BGE 138 V 318 E. 6.1.4). In den nicht amtlich publizierten Entscheiden hat das Bundesgericht über wiegend die eben genannte Formulierung verwendet; vereinzelt hat es auch ausge führt, „die versicherte Person sei befugt, vorgängig zu den Gutachterfragen Stellung zu nehmen und entsprechende Ergänzungsfragen zu stellen“ (Urteile des Bun des ge richts 8C_888/2011, 8C_900/2011 vom 7. Mai 2012 E. 4.1.2, 8C_623/2011 vom 1 5. März 2012 E. 5.2, 9C_575/2011 vom 1 2. Oktober 2011 E. 4.2).</w:t>
      </w:r>
    </w:p>
    <w:p>
      <w:r>
        <w:rPr>
          <w:b/>
        </w:rPr>
        <w:t>E. 3.3</w:t>
      </w:r>
    </w:p>
    <w:p>
      <w:r>
        <w:t>In diesem Sinne entschied auch das Kantonsgericht Basel-Landschaft im Ent scheid vom 1 7. Januar 2013 (725 12 109 / 6). Es hielt fest, dass die versicherte Person nach neuerer Rechts prechung zwar ein en Anspruch habe, sich vorgängig zu den Gutachterfragen zu äussern , und ihr der vorgesehen Katalog der Expertenfragen zusammen mit der verfügungsmässigen Anordnung der Begutachtung zur Stellungnahme zu unterbreiten sei. Die Expertenfragen würden damit aber nicht Gegenstand der Zwischenverfügung (E. 1.2).</w:t>
      </w:r>
    </w:p>
    <w:p>
      <w:r>
        <w:rPr>
          <w:b/>
        </w:rPr>
        <w:t>E. 3.4</w:t>
      </w:r>
    </w:p>
    <w:p>
      <w:r>
        <w:t>Diesen Entscheiden ist zu folgen. Anzufügen ist, dass sich auch aus dem jüngs ten bundesgerichtlichen Leitentsch eid BGE 139 V 349 (9C_207/2012) nichts an deres ergibt.</w:t>
      </w:r>
    </w:p>
    <w:p>
      <w:r>
        <w:t>Soweit der Beschwerdeführer sich auf ein Urteil des Versicherungsgerichts des Kantons Aargau vom 1 6. April 2013 (VBE.2012.730) beruft, verkennt er, dass jenem Fall eine andere Kon stellation zu Grunde lag . Zu b eurteilen war eine Verfügung, mit welcher die IV-Stelle an ihrem Fragekatalog festhielt. Das Gericht entschied, dass eine Frage im Katalog abzuändern sei ( Urk. 2/10). Die vorliegend strittige Frage, ob überhaupt ein Anspruch auf Erlass eine r Zwischenverfügung über den Gegenstand der Expertenfragen besteht, war jedoch kein Prozessthema.</w:t>
      </w:r>
    </w:p>
    <w:p>
      <w:r>
        <w:t>Gleich verhält es sich mit dem Entscheid des Versicherungsgerichts des Kanton s St. Gallen vom 2 8. Mai 2013 (IV.2012/353), auf welchen der Beschwerdeführer im Weiteren verweist. Auch i n jenem Fal l lag eine Zwischenverfügung vor. Da bei ging es unter anderem darum, dass die IV-Stelle dem Fragenkatalog zu Handen des Gutachters eine sogenannte Rechtsprechungsübersicht beilegte. Die Auswahl der Entscheide beurte ilte das Gericht als suggestiv ( Urk. 2/11). F ür den vorliegenden Fall lässt sich daraus aber</w:t>
      </w:r>
    </w:p>
    <w:p>
      <w:r>
        <w:t>nichts ableiten.</w:t>
      </w:r>
    </w:p>
    <w:p>
      <w:r>
        <w:rPr>
          <w:b/>
        </w:rPr>
        <w:t>E. 3.5</w:t>
      </w:r>
    </w:p>
    <w:p>
      <w:r>
        <w:t>Zusammenfassend ist festzuhalten, dass ein Anspruch auf Erlass einer Zwischenverfügung bei fehlendem Konsens über die zu</w:t>
      </w:r>
    </w:p>
    <w:p>
      <w:r>
        <w:t>stellenden Expertenfragen zu verneinen ist.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 EG/SO/ESversandt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