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UV.2013.00060 vom 24. Juni 2013</w:t>
      </w:r>
    </w:p>
    <w:p>
      <w:r>
        <w:t>ZH Sozialversicherungsgericht, 2013-06-24, DE</w:t>
      </w:r>
    </w:p>
    <w:p>
      <w:r>
        <w:rPr>
          <w:b/>
        </w:rPr>
        <w:t xml:space="preserve">Quelle: </w:t>
      </w:r>
      <w:r>
        <w:t>https://mcp.opencaselaw.ch/entscheid/zh_sozialversicherungsgericht_UV.2013.00060</w:t>
      </w:r>
    </w:p>
    <w:p>
      <w:r>
        <w:t>FR: ZH_SOZIALVERSICHERUNGSGERICHT UV.2013.00060 du 24 juin 2013</w:t>
      </w:r>
    </w:p>
    <w:p>
      <w:r>
        <w:t>IT: ZH_SOZIALVERSICHERUNGSGERICHT UV.2013.00060 del 24 giugno 2013</w:t>
      </w:r>
    </w:p>
    <w:p>
      <w:pPr>
        <w:pStyle w:val="Heading2"/>
      </w:pPr>
      <w:r>
        <w:t>Erwägungen</w:t>
      </w:r>
    </w:p>
    <w:p>
      <w:r>
        <w:rPr>
          <w:b/>
        </w:rPr>
        <w:t>E. 3</w:t>
      </w:r>
    </w:p>
    <w:p>
      <w:r>
        <w:t>3.1Â Â Â Â  Art. 43 Abs. 1 des Bundesgesetzes Ã¼ber den Allgemeinen Teil des Sozialversicherungsrechts (ATSG) statuiert die SachverhaltsabklÃ¤rung von Amtes wegen, wobei die zustÃ¤ndige BehÃ¶rde nicht an AntrÃ¤ge der versicherten Person gebunden ist (BGE 132 V 93 E. 5.2.8). Entsprechend dem Untersuchungsgrundsatz ist es in erster Linie Sache der zustÃ¤ndigen BehÃ¶rde, die materielle Wahrheit zu ermitteln (SVR 2007 IV Nr. 22 S. 77, I 478/04).</w:t>
      </w:r>
    </w:p>
    <w:p>
      <w:r>
        <w:t>Â Â Â Â Â Â Â Â  Soweit Ã¤rztliche oder fachliche Untersuchungen fÃ¼r die Beurteilung notwendig sind, hat sich die versicherte Person diesen zu unterziehen (Abs. 2).</w:t>
      </w:r>
    </w:p>
    <w:p>
      <w:r>
        <w:t>3.2Â Â Â Â  Nach der Rechtsprechung ist der versicherten Person die Gelegenheit einzurÃ¤umen, sich vorgÃ¤ngig zu den Gutachterfragen zu Ã¤ussern (BGE 137 V 210 E. 3.4.2.9 und 3.4.1.4; Art. 55 Abs. 1 ATSG in Verbindung mit Art. 19 VwVG und Art. 37, 39 bis 41 und 43 bis 61 des Bundesgesetzes Ã¼ber den Bundeszivilprozess, BZP). GemÃ¤ss Art. 44 ATSG hat der VersicherungstrÃ¤ger der versicherten Person die Namen und die medizinische Fachrichtung (SVR 2007 IV Nr. 27 S. 94, I 193/05) der Gutachter bekannt zu geben. Wenn der Expertenauftrag an eine Gutachterstelle (wie beispielsweise eine MEDAS) geht und die Namen der einzelnen SachverstÃ¤ndigen noch nicht bekannt sind, muss deren Nennung nicht schon mit der VerfÃ¼gung der Gutachtenanordnung erfolgen. Die Nennung der Namen der einzelnen Gutachter kann zu einem spÃ¤teren Zeitpunkt erfolgen (BGE 137 V 210 E. 3.4.2.8).</w:t>
      </w:r>
    </w:p>
    <w:p>
      <w:r>
        <w:t>3.3Â Â Â Â  Die versicherte Person kann alsdann gegebenenfalls gesetzliche Ausstands- und AblehnungsgrÃ¼nde und damit triftige GrÃ¼nde im Sinne von Art. 44 Satz 2 ATSG substanziiert vortragen (vgl. BGE 132 V 376). Die Ã¼blichen Untersuchungen im Rahmen einer medizinischen Begutachtung sind ohne konkret entgegenstehende UmstÃ¤nde generell als zumutbar zu erachten (Art. 43 Abs. 2 ATSG; Urteil des Bundesgerichts I 988/06 vom 28. MÃ¤rz 2007). Die Mitwirkung kann von der betroffenen Person jedoch dann ohne rechtliche Folgen verweigert werden (Art. 43 Abs. 3 ATSG), wenn sie begrÃ¼ndete Ausstands- oder AblehnungsgrÃ¼nde anfÃ¼gen kann. Ist dies nicht der Fall, spricht verfahrensrechtlich nichts dagegen, wenn der VersicherungstrÃ¤ger die Begutachtung ohne das EinverstÃ¤ndnis der versicherten Person anordnet. Nach der Rechtsprechung hat der VersicherungstrÃ¤ger, falls eine Einigung Ã¼ber die Gutachtenseinholung nicht zustande kommt, Ã¼ber die Anordnung, eine Expertise einzuholen, eine formelle VerfÃ¼gung im Sinne von Art. 49 ATSG zu erlassen (BGE 137 V 210 E. 3.4.2.6).</w:t>
      </w:r>
    </w:p>
    <w:p>
      <w:r>
        <w:t>3.4Â Â Â Â  Mit Blick auf einen vom SozialversicherungstrÃ¤ger im Sinne von Art. 44 ATSG vorgesehenen oder beauftragten medizinischen Gutachter kÃ¶nnen nur formelle Ausschliessungs- oder AblehnungsgrÃ¼nde Thema eines Ablehnungsgesuches bilden, wie sie beispielsweise in Art. 10 VwVG und Art. 36 ATSG festgehalten sind. Die AusstandsgrÃ¼nde nach Art. 36 ATSG stimmen mit denjenigen nach Art. 10 VwVG Ã¼berein (SVR 2007 IV Nr. 22 S. 77 E. 2.2.3, I 478/04). Dazu gehÃ¶ren ein persÃ¶nliches Interesse an der zu beurteilenden Sache, aber auch die enge verwandtschaftliche oder freundschaftliche Verbundenheit mit einer Partei oder andere GrÃ¼nde von Ã¤hnlichem Gewicht (Urteil des Bundesgerichts U 31/07 vom 7. Dezember 2007 E. 6.1). Bedenken materieller Natur kÃ¶nnen nicht Inhalt eines Ausstandsbegehrens sein, sondern sind allenfalls im Rahmen der WÃ¼rdigung des Gutachtens vorzubringen (BGE 132 V 93 E. 6.5).</w:t>
      </w:r>
    </w:p>
    <w:p>
      <w:r>
        <w:t>3.5Â Â Â Â  AusstandsgrÃ¼nde kÃ¶nnen gemÃ¤ss hÃ¶chstrichterlicher Rechtsprechung nur gegenÃ¼ber einer natÃ¼rlichen Person, nicht gegenÃ¼ber einer Institution oder BehÃ¶rde geltend gemacht werden (vgl. die Urteile des damaligen EidgenÃ¶ssischen Versicherungsgerichts vom 20. September 2006, I 579/05, E. 3.4 mit Hinweisen, und vom 30. August 2006, U 302/05, E. 4.2, ebenfalls mit Hinweisen). Dies ergibt sich auch aus Art. 36 ATSG, welcher nicht von BehÃ¶rden respektive einer medizinischen AbklÃ¤rungsstelle (MEDAS), sondern von Personen spricht, die Entscheidungen zu treffen oder vorzubereiten haben, was sich dem Sinn nach auf die handelnden natÃ¼rlichen Personen bezieht. ZulÃ¤ssig sind hingegen Ausstandsbegehren gegen sÃ¤mtliche Mitglieder einer BehÃ¶rde oder auch einer MEDAS, was jedoch voraussetzt, dass gegen jedes einzelne Mitglied spezifische Ausstandsbegehren geltend gemacht werden, die Ã¼ber die Kritik hinausgehen, die BehÃ¶rde oder die MEDAS als solche sei befangen (vgl. Urteile des Bundesgerichts I 874/06 vom 8. August 2007 E. 4.1 mit Hinweisen; I 579/05 vom 20. September 2006 E. 3.4 mit Hinweisen).</w:t>
      </w:r>
    </w:p>
    <w:p>
      <w:r>
        <w:rPr>
          <w:b/>
        </w:rPr>
        <w:t>E. 4</w:t>
      </w:r>
    </w:p>
    <w:p>
      <w:r>
        <w:t>4.1Â Â Â Â  Die BeschwerdefÃ¼hrerin machte gegen das B.___ geltend, ein Mitglied der GeschÃ¤ftsleitung sei BetriebsÃ¶konomin und daneben noch Bauchtanzlehrerin und psychologische Astrologin, was Zweifel in die VertrauenswÃ¼rdigkeit der Institution aufkommen lasse.</w:t>
      </w:r>
    </w:p>
    <w:p>
      <w:r>
        <w:t>Â Â Â Â Â Â Â Â  Bei der betreffenden Person handelt es sich jedoch nicht um eine an der Begutachtung mitwirkende Ãrztin und auch ihre HobbytÃ¤tigkeiten sind fÃ¼r das Gutachten ohne jeden Einfluss. Dabei handelt es sich auch nicht um allfÃ¤llige gesetzliche Ausstands- oder AblehnungsgrÃ¼nde, und auf die Ablehnung des gesamten Instituts (vorstehend E. 3.5) kann ohnehin nicht geschlossen werden.</w:t>
      </w:r>
    </w:p>
    <w:p>
      <w:r>
        <w:t>4.2Â Â Â Â  Weiter beanstandete die BeschwerdefÃ¼hrerin, dass kein einvernehmliches Bestimmen der Gutachter und des Gutachtungsinstitutes stattgefunden habe. Das Bundesgericht hielt fest, dass mehr als bisher das Bestreben um eine einvernehmliche Gutachtenseinholung in den Vordergrund zu stellen sei, um einerseits vermeidbare Verfahrensweiterungen abzuwenden und anderseits, um die Akzeptanz der Beweisergebnisse durch die betroffene versicherte Person zu erhÃ¶hen (BGE 137 V 210 E. 3.4.2.6).</w:t>
      </w:r>
    </w:p>
    <w:p>
      <w:r>
        <w:t>Â Â Â Â Â Â Â Â  Dies bedeutet jedoch nicht, dass der beschwerdefÃ¼hrenden Person grundsÃ¤tzlich ein Wahlrecht in Bezug auf die Ernennung der Gutachter zukommt. Die Beschwerdegegnerin bestimmt im Rahmen des geltenden Untersuchungsprinzips von sich aus, wie der Beweis zu fÃ¼hren ist und welche Gutachterstelle sie hierfÃ¼r fÃ¼r geeignet befindet. Ein diesbezÃ¼gliches Wahlrecht der BeschwerdefÃ¼hrerin ist demnach zu verneinen.</w:t>
      </w:r>
    </w:p>
    <w:p>
      <w:r>
        <w:t>Â Â Â Â Â Â Â Â  Auch das Bundesgericht bezeichnete eine vorgÃ¤ngige Einigung lediglich als Obliegenheit (BGE 138 V 271 E. 3.4). Aus diesem Grund war die Beschwerdegegnerin auch nicht gehalten, zu sÃ¤mtlichen kantonalen Praxisbewilligungen und Anfragen betreffend Praxisadresse seitens der BeschwerdefÃ¼hrerin Auskunft zu erteilen.</w:t>
      </w:r>
    </w:p>
    <w:p>
      <w:r>
        <w:t>4.3Â Â Â Â  In Bezug auf die gerÃ¼gten allfÃ¤llig fehlenden kantonalen Praxisbewilligungen von F.___, Fachpsychologin fÃ¼r Neuropsychologie FSP, Dr. med. G.___, Facharzt fÃ¼r Neurologie, und die Praxisadresse von Dr. med. H.___, Facharzt fÃ¼r Psychiatrie, ist festzuhalten, dass das Bundesgericht eine kantonale BerufsausÃ¼bungsbewilligung - soweit ersichtlich - bislang nie als Voraussetzung fÃ¼r die GutachtertÃ¤tigkeit genannt hat. Hat aber das hÃ¶chste Gericht in den zahlreichen FÃ¤llen, in welchen es um die Beurteilung der persÃ¶nlichen und fachlichen Eignung von Gutachtern ging, die Voraussetzung einer BerufsausÃ¼bungsbewilligung zu keinem Zeitpunkt thematisiert beziehungsweise fÃ¼r die AusÃ¼bung einer gutachterlichen TÃ¤tigkeit gefordert, so ist dies - solange keine anderslautende Rechtsprechung absehbar ist - als qualifiziertes Schweigen zu werten. Deshalb spricht allein der Umstand, dass ein Arzt oder eine Ãrztin nicht Ã¼ber eine kantonale BerufsausÃ¼bungsbewilligung verfÃ¼gt, nicht gegen seine oder ihre Eignung, als Gutachtensperson in einer bestimmten medizinischen Disziplin tÃ¤tig zu sein, und es ist darin kein Ablehnungsgrund im Sinne von Art. 44 ATSG zu sehen.</w:t>
      </w:r>
    </w:p>
    <w:p>
      <w:r>
        <w:t>Â Â Â Â Â Â Â Â  Dr. H.___ verfÃ¼gt Ã¼ber Fachausbildungen in Neurologie sowie in Psychiatrie und Psychotherapie (je absolviert in Deutschland) und ist sowohl im FMH-Ãrzteindex ( www.doctorfmh.ch ) als auch im Medizinalberuferegister des Bundesamtes fÃ¼r Gesundheit (BAG; www.medregom.admin.ch ) eingetragen. Diesem ist sodann zu entnehmen, dass seine Fachausbildungen im Jahre 2007 in der Schweiz anerkannt wurden und er im gleichen Jahr eine BerufsausÃ¼bungsbewilligung fÃ¼r den Kanton Bern erhalten hat. Es besteht somit kein Anlass, an der Kompetenz und ZuverlÃ¤ssigkeit dieses Arztes zu zweifeln.</w:t>
      </w:r>
    </w:p>
    <w:p>
      <w:r>
        <w:t>Â Â Â Â Â Â Â Â  Der Neurologe Dr. G.___, welcher gemÃ¤ss den Angaben der BeschwerdefÃ¼hrerin ebenfalls keine BerufsausÃ¼bungsbewilligung haben soll, ist als Oberarzt im Inselspital in Bern tÃ¤tig und hat den Facharzttitel 1985 in Deutschland in Neurologie erlangt, welcher seit dem 24. April 2007 in der Schweiz anerkannt ist ( www.doctorfmh.ch ; www.medregom.admin.ch , besucht am 2. Mai 2013). Da Dr. G.___ damit eine in der Schweiz anerkannte Fachausbildung in Neurologie verfÃ¼gt ( www.medregom.admin.ch ), ist nicht ersichtlich, weshalb er nicht geeignet sein soll, die BeschwerdefÃ¼hrerin neurologisch abzuklÃ¤ren.</w:t>
      </w:r>
    </w:p>
    <w:p>
      <w:r>
        <w:t>Â Â Â Â Â Â Â Â  Lic. phil. F.___ verfÃ¼gt ebenfalls Ã¼ber die Praxisbewilligung fÃ¼r Neu-ropsychologie im Kanton Bern ( www.hplus.ch ), und auch an ihrer Fachkompetenz gibt es demnach nichts anzuzweifeln.</w:t>
      </w:r>
    </w:p>
    <w:p>
      <w:r>
        <w:t>4.4Â Â Â Â  Dass Dr. med. I.___, Facharzt FMH fÃ¼r Innere Medizin, und Dr. L.___, Facharzt fÃ¼r OrthopÃ¤die und Traumatologie, ihre Arztausbildung in den Jahren 1970 respektive 1971 abgeschlossen haben, steht einer TÃ¤tigkeit als Gutachter nicht entgegen, sondern spricht vielmehr fÃ¼r einen grossen Erfahrungsschatz. Die diesbezÃ¼glich vorgebrachten EinwÃ¤nde vermÃ¶gen nicht zu Ã¼berzeugen und stellen weder Ausschluss- noch AusstandsgrÃ¼nde dar.</w:t>
      </w:r>
    </w:p>
    <w:p>
      <w:r>
        <w:t>4.5Â Â Â Â  Zusammenfassend liegen weder Ausstands- noch AusschlussgrÃ¼nde vor, noch stehen anderweitige triftige GrÃ¼nde einer Begutachtung der BeschwerdefÃ¼hrerin durch das B.___ und durch die dort beschÃ¤ftigten Gutachter entgegen.</w:t>
      </w:r>
    </w:p>
    <w:p>
      <w:r>
        <w:t>Â Â Â Â Â Â Â Â  Ebenso wenig kann in der Vorgehensweise der Beschwerdegegnerin eine Verletzung allfÃ¤lliger Rechte der BeschwerdefÃ¼hrerin erkannt werden.</w:t>
      </w:r>
    </w:p>
    <w:p>
      <w:r>
        <w:rPr>
          <w:b/>
        </w:rPr>
        <w:t>E. 5</w:t>
      </w:r>
    </w:p>
    <w:p>
      <w:r>
        <w:t>5.1Â Â Â Â  Die BeschwerdefÃ¼hrerin brachte sowohl im Vorfeld der Beschwerde als auch im Rahmen der Beschwerde diverse Kritiken am von der Beschwerdegegnerin erstellten Fragekatalog vor. Da es entsprechend dem geltenden Untersuchungsgrundsatz in erster Linie Sache des Unfallversicherers ist, die materielle Wahrheit zu ermitteln (vorstehend E. 3.1-2), ist die Beschwerdegegnerin nicht verpflichtet, auf die diversen AbÃ¤nderungsantrÃ¤ge des Fragekataloges durch die BeschwerdefÃ¼hrerin einzugehen oder diesen gar, wie gefordert wurde, durch einen anderen zu ersetzten. So Ã¤nderte die Beschwerdegegnerin im Vorfeld den Fragekatalog diverse Male ab, Ã¼bernahm von der BeschwerdefÃ¼hrerin eigens erstellte TextblÃ¶cke betreffend ArbeitsunfÃ¤higkeit (vgl. Urk. 9/K120) und wies auf die MÃ¶glichkeit hin, ErgÃ¤nzungsfragen zu stellen, sofern nicht sÃ¤mtliche AbÃ¤nderungsvorschlÃ¤ge Ã¼bernommen wÃ¼rden (vgl. Urk. 9/K128).</w:t>
      </w:r>
    </w:p>
    <w:p>
      <w:r>
        <w:t>Â Â Â Â Â Â Â Â  Die BeschwerdefÃ¼hrerin rÃ¼gte unter anderem eine Wiederholung der Ar-beitsunfÃ¤higkeitsfrage, welche - obwohl darum gebeten wurde - nicht korrigiert worden sei (S. 8 Ziff. 17). Ob nun ein oder zweimal nach der ArbeitsunfÃ¤higkeit gefragt wird, ist ohne jegliche Relevanz.</w:t>
      </w:r>
    </w:p>
    <w:p>
      <w:r>
        <w:t>Â Â Â Â Â Â Â Â  Auch fÃ¼hren die Anmerkungen der BeschwerdefÃ¼hrerin betreffend den Wahrscheinlichkeitsgrad ins Leere. So wurde nicht wie die BeschwerdefÃ¼hrerin ausfÃ¼hrte, mehrfach nach einem Âsicheren WahrscheinlichkeitsgradÂ gefragt, sondern es wurden konkret nur Fragen im Zusammenhang mit der Ã¼berwiegenden Wahrscheinlichkeit gestellt, wobei offen gelassen wurde, diese auch mit sicherem Wahrscheinlichkeitsgrad zu beantworten (vgl. Urk. 9/K128/3-6). Die gestellten ErgÃ¤nzungsfragen der BeschwerdefÃ¼hrerin wurden sodann hinreichend berÃ¼cksichtigt und auch die verfasste Vorbemerkung zur ArbeitsfÃ¤higkeitsfrage fand ihren Niederschlag (Urk. 9/K128/7-8).</w:t>
      </w:r>
    </w:p>
    <w:p>
      <w:r>
        <w:t>Â Â Â Â Â Â Â Â  Fraglich ist auch, wie die BeschwerdefÃ¼hrerin darauf kommt, von feststehender UnfallkausalitÃ¤t zu sprechen, dreht sich doch die ganze bevorstehende Begutachtung darum, zu prÃ¼fen, ob eine solche besteht oder nicht. Die diesbezÃ¼glichen Einwendungen mÃ¼ssen als nicht stichhaltig bezeichnet werden.</w:t>
      </w:r>
    </w:p>
    <w:p>
      <w:r>
        <w:t>Â Â Â Â Â Â Â Â  Zur Kritik in Bezug auf die Reihenfolge und Streichungen gewisser ErgÃ¤nzungsfragen ist ebenfalls zu sagen, dass dies ohne jegliche Relevanz fÃ¼r das Resultat der Begutachtung sein dÃ¼rfte, und die ErgÃ¤nzungsfragen vollstÃ¤ndig Ã¼bernommen worden sind. Die im Rahmen der Beschwerde gestellte Zusatzfrage betreffend ein allfÃ¤lliges Schmerzleiden mit Auswirkung auf die ArbeitsfÃ¤higkeit ist aus unfallversicherungsrechtlicher Sicht im Rahmen der PrÃ¼fung der UnfallkausalitÃ¤t ohne Belang und kann weggelassen werden.</w:t>
      </w:r>
    </w:p>
    <w:p>
      <w:r>
        <w:t>5.2Â Â Â Â  Zusammenfassend kann festgehalten werden, dass im Zusammenhang mit dem Fragekatalog das rechtliche GehÃ¶r der BeschwerdefÃ¼hrerin umfassend gewahrt wurde. So konnte sie zu den gestellten Fragen im Vorfeld mehrfach Stellung nehmen und ErgÃ¤nzungsfragen einreichen. Der Fragekatalog wurde auch immer wieder in ihrem Sinne korrigiert. Betreffend die Fragen, an welchen die Beschwerdegegnerin festhielt, machte sie Ã¼berdies auf die MÃ¶glichkeit aufmerksam, eine abgeÃ¤nderte ErgÃ¤nzungsfrage zu stellen.</w:t>
      </w:r>
    </w:p>
    <w:p>
      <w:r>
        <w:t>6.Â Â Â Â Â Â  Nach dem Gesagten ist nicht zu beanstanden, dass die Beschwerdegegnerin mit der angefochtenen ZwischenverfÃ¼gung vom 14. Februar 2013 (Urk. 2) an der AbklÃ¤rung durch das B.___ und durch die dort beschÃ¤ftigten Gutachter festhielt, weshalb die dagegen erhobene Beschwerde abzuweisen ist.</w:t>
      </w:r>
    </w:p>
    <w:p>
      <w:r>
        <w:t>Das Gericht erkennt:</w:t>
      </w:r>
    </w:p>
    <w:p>
      <w:r>
        <w:t>1.Â Â Â Â Â Â Â Â  Die Beschwerde wird abgewiesen.</w:t>
      </w:r>
    </w:p>
    <w:p>
      <w:r>
        <w:t>2.Â Â Â Â Â Â Â Â  Das Verfahren ist kostenlos.</w:t>
      </w:r>
    </w:p>
    <w:p>
      <w:r>
        <w:t>3.Â Â Â Â Â Â Â Â  Zustellung gegen Empfangsschein an:</w:t>
      </w:r>
    </w:p>
    <w:p>
      <w:r>
        <w:t>- Rechtsanwalt Christian Jaeggi</w:t>
      </w:r>
    </w:p>
    <w:p>
      <w:r>
        <w:t>- Helsana Versicherungen AG</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