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UV.2012.00189 vom 30. November 2013</w:t>
      </w:r>
    </w:p>
    <w:p>
      <w:r>
        <w:t>ZH Sozialversicherungsgericht, 2013-11-30, DE</w:t>
      </w:r>
    </w:p>
    <w:p>
      <w:r>
        <w:rPr>
          <w:b/>
        </w:rPr>
        <w:t xml:space="preserve">Quelle: </w:t>
      </w:r>
      <w:r>
        <w:t>https://mcp.opencaselaw.ch/entscheid/zh_sozialversicherungsgericht_UV.2012.00189</w:t>
      </w:r>
    </w:p>
    <w:p>
      <w:r>
        <w:t>FR: ZH_SOZIALVERSICHERUNGSGERICHT UV.2012.00189 du 30 novembre 2013</w:t>
      </w:r>
    </w:p>
    <w:p>
      <w:r>
        <w:t>IT: ZH_SOZIALVERSICHERUNGSGERICHT UV.2012.00189 del 30 novembre 2013</w:t>
      </w:r>
    </w:p>
    <w:p>
      <w:pPr>
        <w:pStyle w:val="Heading2"/>
      </w:pPr>
      <w:r>
        <w:t>Erwägungen</w:t>
      </w:r>
    </w:p>
    <w:p>
      <w:r>
        <w:rPr>
          <w:b/>
        </w:rPr>
        <w:t>E. 1</w:t>
      </w:r>
    </w:p>
    <w:p>
      <w:r>
        <w:t>X.___ , geboren 1953, erlitt als Bauarbeiter der Firma Y.___ am 1 4. Februar 2011 einen Berufsunfall, bei dem er sich an der rechten Schulter verletzte ( Urk. 6/2). Diagnostiziert wurde eine ausgedehnte Rotatorenman schettenruptur mit ausgedehnter Infra - und Supraspinatussehnenruptur sowie einer Bizepssehnenruptur ( Urk. 6/4). Die Schweizerische Unfallversicherungs anstalt (Suva), der zuständige Unfallversicherer, erbrachte Heilbehandlungen unter anderem für eine operative Sanierung der Schulter und Physiotherapien sowie Taggelder für eine ab Unfalltag bestehende Arbeitsunfähigkeit ( Urk. 6/28). Gestützt auf die Befunde im Bericht der Z.___ vom 1 8. November 2011 ( Urk. 6/35) legte der Suva-Kreisarzt Dr. med. A.___ , Facharzt für Phy sikalische Medizin und Rehabilitation, im Aktenbericht vom 2 0. Dezember 2011 die Arbeitsfähigkeit des Versicherten fest ( Urk. 6/44). Aufgrund der langjähri gen, seit 1997 andauernden Betriebszugehörigkeit konnte der Versicherte bei der Y.___ bleiben und arbeitete dort in einem reduzierten Pensum als Hilfskraft ( Urk. 6/71). Mit Verfügung vom 1 3. März 2012 sprach die Suva dem Versicherten ab 1. April 2012 bei einer Invalidität von 13 % eine Rente zu, lehnte die Ausrich tung einer Integritätsentschädigung jedoch ab ( Urk. 6/81). Die dagegen erho bene Einsprache, mit der der Versicherte eine höhere Rente und eine Integri tätsentschädigung verlangte, wies die Suva mit Einspracheentscheid vom 3. Juli 2012 ab, nachdem sie Kreisarzt Dr . A.___ um eine Stellungnahme betreffend den Integritätsschaden ersucht hatte ( Urk. 6/97).</w:t>
      </w:r>
    </w:p>
    <w:p>
      <w:r>
        <w:rPr>
          <w:b/>
        </w:rPr>
        <w:t>E. 1.1</w:t>
      </w:r>
    </w:p>
    <w:p>
      <w:r>
        <w:t>Ist die versicherte Person infolge des Unfalles zu mindestens 10 Prozent invalid ( Art. 8 ATSG), so hat sie Anspruch auf eine Invalidenrente ( Art. 18 Abs. 1 des Bundesgesetzes über die Unfallversicherung, UVG).</w:t>
      </w:r>
    </w:p>
    <w:p>
      <w:r>
        <w:t>Invalidität ist die voraussichtlich bleibende oder längere Zeit dauernde ganze oder teilweise Erwerbsunfähigkeit ( Art. 8 des Bundesgesetzes über den Allge meinen Teil des Sozialvesicherungsrechts , ATSG). Für die Bestimmung des Inva li ditätsgrades wird das Erwerbseinkommen, das die versicherte Person nach Ein 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vgl. BGE 130 V 121).</w:t>
      </w:r>
    </w:p>
    <w:p>
      <w:r>
        <w:t>Nach Art. 18 Abs.</w:t>
      </w:r>
    </w:p>
    <w:p>
      <w:r>
        <w:rPr>
          <w:b/>
        </w:rPr>
        <w:t>E. 1.2</w:t>
      </w:r>
    </w:p>
    <w:p>
      <w:r>
        <w:t>Der Bundesrat hat gestützt auf Art. 18 Abs.</w:t>
      </w:r>
    </w:p>
    <w:p>
      <w:r>
        <w:rPr>
          <w:b/>
        </w:rPr>
        <w:t>E. 1.3</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 26 V 75 E. 3b/ aa mit Hinweisen). Ist kein solches tatsächlich erzieltes Erwerbsein kommen gegeben, namentlich weil die versicherte Person nach Eintritt des Gesundheitsschadens keine oder jedenfalls keine ihr an sich zumutbare neue Erwerbstätigkeit aufgenommen hat, so können nach der Rechtsprechung Tabel lenlöhne</w:t>
      </w:r>
    </w:p>
    <w:p>
      <w:r>
        <w:t>gemäss den vom Bundesamt für Statistik periodisch herausgegebenen Lohnstrukturerhebungen (LSE) oder die DAP-Zahlen herangezogen wer den (BGE 129 V 475 E. 4.2.1, 126 V 76 E. 3b mit Hinweisen; RKUV 1999 Nr. U 343 S. 412 f. E 4b/ aa ).</w:t>
      </w:r>
    </w:p>
    <w:p>
      <w:r>
        <w:t>D as Abstellen auf DAP-Löhne setzt voraus, dass zusätzlich zur Auflage von mindestens fünf DAP-Blättern, Angaben gemacht werden über die Gesamtzahl der auf Grund der gegebenen Behinderung in Frage kommenden dokumen 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der Unfallversicherer nicht in der Lage, den erwähnten ver fahrensmässigen Anforderungen zu genügen, kann nicht auf den DAP-Lohn vergleich abgestellt w e rden (BGE 129 V 472).</w:t>
      </w:r>
    </w:p>
    <w:p>
      <w:r>
        <w:rPr>
          <w:b/>
        </w:rPr>
        <w:t>E. 1.4</w:t>
      </w:r>
    </w:p>
    <w:p>
      <w:r>
        <w:t>Nach Art. 24 Abs. 1 UVG hat die versicherte Person Anspruch auf eine ange mes sene Integritätsentschädigung, wenn sie durch den Unfall eine dau ernde erhebliche Schädigung der körperlichen oder geistigen Integrität erleidet. Die Inte gri täts entschädigung wird in Form einer Kapitalleistung gewährt. Sie darf den am Unfalltag geltenden Höchstbetrag des versicherten Jahresverdiens tes nicht übersteigen und wird entsprechend der Schwere des Integritätsscha 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 tätsentschädigung die Richtlinien des Anhanges 3. Fallen mehrere körperliche oder geistige Integri tätsschäden aus einem oder mehreren Unfällen zusammen, so wird die Integri tätsentschädigung nach der gesamten Beeinträchtigung fest gesetzt (Abs. 3).</w:t>
      </w:r>
    </w:p>
    <w:p>
      <w:r>
        <w:t>Im Anhang 3 zur UVV hat der Bundesrat Richtlinien für die Bemessung der Integ ritätsschäden aufgestellt und in einer als gesetzmässig erkannten, nicht abschliessenden Skala (BGE 124 V 29 E. 1b mit Hinweisen) wichtige und typi sche Schäden prozentual gewichtet.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Prozent nicht erreichen, geben keinen Anspruch auf Ent schädigung ( Ziff. 1 Abs. 3). Die völlige Gebrauchsunfähigkeit eines Organs wird dem Verlust gleichgestellt; bei teilweisem Verlust und teilweiser Gebrauchsun fähigkeit wird der Integritätsschaden entsprechend geringer, wobei die Entschä digung jedoch ganz entfällt, wenn der Integritätsschaden weniger als 5 Prozent des Höchstbetrages des versicherten Verdienstes ergäbe ( Ziff. 2).</w:t>
      </w:r>
    </w:p>
    <w:p>
      <w:r>
        <w:t>Die Medizinische Abteilung der Schweizerischen Unfallversicherungsanstalt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w:t>
      </w:r>
    </w:p>
    <w:p>
      <w:r>
        <w:t>3a). 2.</w:t>
      </w:r>
    </w:p>
    <w:p>
      <w:r>
        <w:rPr>
          <w:b/>
        </w:rPr>
        <w:t>E. 2</w:t>
      </w:r>
    </w:p>
    <w:p>
      <w:r>
        <w:t>UVG in Art. 28 Abs.</w:t>
      </w:r>
    </w:p>
    <w:p>
      <w:r>
        <w:rPr>
          <w:b/>
        </w:rPr>
        <w:t>E. 2.1</w:t>
      </w:r>
    </w:p>
    <w:p>
      <w:r>
        <w:t>In tatsächlicher Hinsicht ist erstellt und zwischen den Parteien nicht strittig, an welchen unfallkausalen Schäden der Beschwerdeführer im Hinblick auf die Festlegung der Arbeitsfähigkeit noch immer leidet. Dr. A.___ legte in seinem Bericht vom 2 0. Dezember 2011 dar, er könne gänzlich auf die Befunde im Bericht der Z.___ vom 1 8. Novemb er 2011 verweisen. Damals stell ten die kontrollierenden Ärzte fest, der Versicherte klage über belas t ungsabhän gige</w:t>
      </w:r>
    </w:p>
    <w:p>
      <w:r>
        <w:t>Schmerzen und persistierende krampfartig auftretende muskuläre Schmer zen im Bereich des Bicepsmuskelbauches ( Urk. 6/35). Gestützt auf die Angaben dort erachtete Dr. A.___ am 2 0 . Dezember 2011 eine mittelschwere Tätigkeit ganztags für zumutbar, wenn der Versicherte mit dem rechten Arm Einsätze maximal bis 15 kg auf Tischhöhe und bis 5 kg auf Schulterhöhe zu abso l vieren habe und keine repetitiv kraftvollen Einsätze über Kopfhöhe notwendig seien. Ebenfalls sollten keine Tätigkeiten gemacht werden, die Schläge und Vibratio nen auf das recht e Schultergelenk übertragen würden ( Urk. 6/44).</w:t>
      </w:r>
    </w:p>
    <w:p>
      <w:r>
        <w:t>Dass der Versicherte bei diesen Befunden die ursprünglich als Gipser getätigten Arbeiten nicht mehr ausführen kann, ist einleuchtend und unbestritten. Diese Tätigkeit bestand gemäss Darstellung des Arbeitgebers aus vielen mit beiden Händen kraftvoll auszuübenden Überkopf-Arbeiten ( Urk. 6/71), was der Versi cherte nicht mehr tun kann. Der Arbeitgeber, bei dem der Versicherte bis zur Frühpensionierung im Februar 2013 weiterbeschäftigt wurde, setzte ihn denn auch nach dem Unfall als Hilfskraft bei allgemeinen Bauarbeiten ein, bezifferte seine Leistung jedoch mit nicht mehr als 25 % ( Urk. 6/71). Damit war der Beschwerdeführer bei seinem Arbeitgeber zwar weiterhin berufstätig, schöpfte jedoch das ihm medizinisch gesehen zumutbare A usmass an beruflichem Ein satz nicht aus. Für die Berechnung des Invalideneinkommens kann daher nicht auf die Verhältnisse am konkreten Arbeitsplatz abgestellt werden, vielmehr ist für das Invalideneinkommen zu ermitteln, welches Einkommen ihm mit Blick auf den Allgemeinen Arbeitsmarkt anzurechnen ist (oben E . 1.3).</w:t>
      </w:r>
    </w:p>
    <w:p>
      <w:r>
        <w:rPr>
          <w:b/>
        </w:rPr>
        <w:t>E. 2.2</w:t>
      </w:r>
    </w:p>
    <w:p>
      <w:r>
        <w:t>Die Beschwerdegegnerin legte der Rentenberechnung ein Invalideneinkommen für das Jahr 2011 von Fr. 63‘849.60 zu Grunde, das sie an Hand von fünf DAP Blättern aus der Industriebranche ermittelt hatte. Sie wählte dazu die Tätigkeiten als Produktionsmitarbeiter in einem Grossbäckereibetrieb (DAP-Nr. 83 21) mit einem Durchschnittseinkommen von Fr. 62‘595.- - , als Qualitäts kon trolleur Vorarbeiter für die Herstellung von Schwämmen (DAP-Nr. 5484) mit einem Durchschnittseinkommen von Fr. 63‘050.-- , Anlagenführer (DAP-Nr. 9955) bei einem Grossverteiler mit einem Durchschnittseinkommen von Fr. 63‘603.-- , Hilfsarbeiter in der Pulverbeschichtung (DAP-Nr. 389220) mit einem Durchschnittseinkommen von Fr. 63‘700.-- und als Abtöner</w:t>
      </w:r>
    </w:p>
    <w:p>
      <w:r>
        <w:t>von Farb mischungen</w:t>
      </w:r>
    </w:p>
    <w:p>
      <w:r>
        <w:t>(DAP-Nr. 674) mit einem Durchschnittseinkommen von Fr. 66‘300.--. Der Durchschnitt der Durchschnittslöhne der fünf DAP-Profile beträgt Fr. 63‘849.6 0. Mit Blick auf die Beurteilung der Repräsentativität der verwendeten DAP-Profile ergibt sich, dass die Gesamtzahl der den</w:t>
      </w:r>
    </w:p>
    <w:p>
      <w:r>
        <w:t>eingegebe nen Suchkriterien (Region, behinderungsbedingte Einschränkungen) entspre chenden Arbeitsplätze 375 beträgt und sich das Mittel aus den Durchschnitts löhnen dieser Arbe itsplätze im Jahr 2011 auf Fr. 60‘502.-- beläuft, bei einem Minimallohn ( 1. Dezil ) von Fr. 45‘900 . und einem Maximallohn ( 9. Dezil ) von Fr. 80‘600 . . Der verwendete Invaliditätslohn gemäss DAP ( Fr. 63‘849.-- ) liegt demnach rund 5,5 %</w:t>
      </w:r>
    </w:p>
    <w:p>
      <w:r>
        <w:t>über dem Durchschnitt aller 375 der den eingegebenen Suchkriterien entsprechenden Arbeitsplätze .</w:t>
      </w:r>
    </w:p>
    <w:p>
      <w:r>
        <w:rPr>
          <w:b/>
        </w:rPr>
        <w:t>E. 2.3</w:t>
      </w:r>
    </w:p>
    <w:p>
      <w:r>
        <w:t>Der Be schwerdeführer lässt gegen die getroffene Auswahl zusammengefasst vorbringen,</w:t>
      </w:r>
    </w:p>
    <w:p>
      <w:r>
        <w:t>die Beschwerdegegnerin h abe Tätigkeiten ausgewählt, bei denen der Minimallohn jeweils höher sei als die untersten Löhne für andere Hilfsar beiten . Besonders ins Gewicht falle, dass viele Tätigkeiten, bei denen der Durchschnittslohn über Fr. 60‘502. -- lägen, für ihn überhaupt nicht in Frage kämen und so den ermittelten Durchschnittslohn zu Unrecht in die Höhe trieben. Er habe nur schlechte Deutschkenntnisse und keine Ausbildung oder Erfahrung für Tätigkeiten wie beispielsweise Büroangestellter, kaufmännischer Angestellter, Disponent etc. und auch keine feinmotorischen Fähigkeiten ( Urk. 1 S. 5). 3.</w:t>
      </w:r>
    </w:p>
    <w:p>
      <w:r>
        <w:t>3.1</w:t>
      </w:r>
    </w:p>
    <w:p>
      <w:r>
        <w:t>Zunächst ist festzustellen, dass entgegen der Ansicht der Beschwerdegegnerin, die sie im Einspracheentscheid geäussert hat ( Urk. 2) , Art. 28 Abs.</w:t>
      </w:r>
    </w:p>
    <w:p>
      <w:r>
        <w:rPr>
          <w:b/>
        </w:rPr>
        <w:t>E. 4</w:t>
      </w:r>
    </w:p>
    <w:p>
      <w:r>
        <w:t>UVV vor liegend grundsätzlich zur Anwendung gelangt. Denn der Beschwerdeführer war im Zeitpunkt des Rentenbeginns im Jahr 2012 bereits 59 Jahre alt. Er stand damit ein Jahr vor der Frühpensionierung im Januar 2013 , die angestrebt wurde. Aus den Akten geht hervor, dass nach dem Unfall trotz der erwähnten unbestrittenen gänzlichen Restarbeitsfähigkeit in einer angepassten Tätigkeit nur eine Lösung beim bisherigen Arbeitgeber gesucht wurde, weil der Versi cherte so kurz vor der Frühpensionierung stand und somit ein Stellenwechsel aus Altersgründen nicht mehr in Frage kam ( Urk. 6/39, 6/71). Daraus resultiert, dass bei der Invaliditätsbemessung das konkrete Alter des Versicherten keine Berücksichtigung findet, vielmehr die Vergleichseinkommen eines Versicherten im mittleren Alter, zwischen 40 und 45 Jahren, massgebend sind (Urteil des Bundesgerichts 8C_209/2012 vom 1 2. Juli 2012 E. 5.6). 3.2</w:t>
      </w:r>
    </w:p>
    <w:p>
      <w:r>
        <w:t>Der</w:t>
      </w:r>
    </w:p>
    <w:p>
      <w:r>
        <w:t>Beschwerdeführer stammt aus Mazedonien und hat die Grundschule dort besucht. Seit 1975 ist er in der Schweiz. Er machte in Mazedonien nach eigenen Angaben eine Maurer-Ausbildung ( Urk. 6/63) und war seit 1997 bei der Y.___ als Bauarbeiter tätig ( Urk. 6/2), wobei er gemäss Aussagen des Arbeitgebers vor dem Unfall vor allem als langjähriger und sehr gut arbeitender Gipser ein gesetzt worden war ( Urk. 6/71). Auch wenn er somit, wie er in der Beschwerde vorbringen lässt, keine Maurer-Ausbildung nach schweizerischem Standard durch laufen hat ( Urk. 1 S. 6), kann dennoch gesagt werden, dass seine gute Berufs tätigkeit auf diesem Bereich gewisse fehlende Ausbildungsschritte wett gemacht hat . Nach Angaben des Sachbearbeiters der Beschwerdegegnerin ver steht der Versicherte jedoch nur ungenügend Deutsch , so dass zu den Bespre chungen ein Dolmetscher beigezogen werden musste ( Urk. 6/71).</w:t>
      </w:r>
    </w:p>
    <w:p>
      <w:r>
        <w:t>Vor seinem Unfall wurde ihm gemäss Angaben des Arbeitgebers ein Jahreslohn von Fr. 73‘867.95 ausbezahlt ( Urk. 6/2). 3.3</w:t>
      </w:r>
    </w:p>
    <w:p>
      <w:r>
        <w:t>Das von der Beschwerdegegnerin ausgeübte Auswahlermessen bei den konkret ausgewählten fünf DAP- Tätigkeiten gilt es unter Berücksichtigung d ieser per sönlichen und berufsmässigen Umstände und vor allem zusammen mit tels des beschriebenen behinderungsbedingten Anforderungsprofil s</w:t>
      </w:r>
    </w:p>
    <w:p>
      <w:r>
        <w:t>einer mittelschweren Tätigkeit zu überprüfen (vgl. Urteile des Bundesgerichts 8C_161/2009 vom 6. Oktober 2009 E. 3.2; U 486/06 vom 1 4. März 2007 E.</w:t>
      </w:r>
    </w:p>
    <w:p>
      <w:r>
        <w:t>4.2.2) . Dabei kann festgestellt werden, dass alle Tätigkeiten das behinderungsbedingte Profil erfül len. Es sind keine Tätigkeiten dabei, bei denen über Brusthöhe gearbeitet wer den müsste oder bei denen grössere Gewichte als die erlaubten zu heben wären. Ausbildungsmässig wird bei der Tätigkeit als Anlagenführer (DAP-Nr. 9955), bei der der Versicherte eine Teigformanlage überwachen müsste, allfällige Störun gen zu beheben wären und die Anlage eingestellt werden müsste, und bei derje nigen als Abtöner (DAP-Nr. 674), wo anhand von Computerlisten Farbmischun gen hergestellt werden, jeweils eine Anlehre vorgeschrieben ( Urk. 6/65) , bei den übrigen reicht die Grundschule. Auch ohne formell abgeschlossene Anlehre darf, wie aufgezeigt wurde, angenommen werden, dass die langjährige und gute Berufserfahrung des Versicherten das Niveau der praxisbezogenen</w:t>
      </w:r>
    </w:p>
    <w:p>
      <w:r>
        <w:t>Anlehre</w:t>
      </w:r>
    </w:p>
    <w:p>
      <w:r>
        <w:t>übersteigt und dies keine Unvereinbarkeit für ihn bedeutet, zumal auch eine Einarbeitungszeit für die entsprechenden Tätigkeiten in allen Betrieben vorge sehen ist. Die mangelhaften Deutschkenntnisse des Versicherten sind ebenfalls bei keiner von diesen gewählten Tätigkeiten ein Hinderungsgrund. Auch wenn der Beschwerdeführer tatsächlich in den ver gangenen Jahren grobmotorische Arbeit verrichtet hat, sind ihm alle der gewählten Tätigkeiten auch aus dieser Sicht zumutbar. Eine ausgesprochen häufig auszuübende feinmotorische Arbeit ist nicht dabei, sodann ist die Feinmotorik des Versicherten behinderungsbe dingt</w:t>
      </w:r>
    </w:p>
    <w:p>
      <w:r>
        <w:t>auch gar nicht betroffen.</w:t>
      </w:r>
    </w:p>
    <w:p>
      <w:r>
        <w:t>Aus dem Gesagten folgt, dass dem Beschwerdeführer mit seinem Profil die fünf konkreten Tätigkeiten zumutbar sind , mit denen im Jahr 2011 ein durchschnitt licher Jahreslohn von Fr. 63‘849. erzielt worden wäre. 3.4</w:t>
      </w:r>
    </w:p>
    <w:p>
      <w:r>
        <w:t>Was nun der Nachweis der Repr ä sentativität dieser Stellen anbelangt, rügt der Beschwerdeführer die von der Beschwerdegegnerin gezeigten 375 Stellen. Bei diesen seien zahlreiche Tätigkeiten, deren Anforderungsprofil er nicht erreiche, solche wie verschiedene Büroangestell t e, kaufmännische Angestellte, Verkaufs angestellte etc. Diese Tätigkeiten befänden sich alle im oberen Segment zwi schen Fr. 60‘500.-- und Fr. 80‘600. und würden den Durchschnitt der Durch sc hnitt s l öhne zu Unrecht nach oben drücken</w:t>
      </w:r>
    </w:p>
    <w:p>
      <w:r>
        <w:t>( Urk. 1 S. 5).</w:t>
      </w:r>
    </w:p>
    <w:p>
      <w:r>
        <w:t>Wie die Beschwerdegegnerin darlegt, wurden die 375 Tätigkeiten mittels der Kriterien behinderungsgerechte Einschränkungen und Region ermittelt. Dabei wurden die 10 % der Arbeitsplätze mit dem tiefsten Lohn und die 10 % mit dem höchsten Lohn n icht berücksichtigt, so dass die grössten Ausschläge vermieden wurden. Von den verbleibenden Arbeitsplätzen ist der Maximallohn Fr. 80‘600. und der Minimallohn Fr. 45‘600.-- und der Durchschnittslohn der verbleibenden Arbeitsplätze Fr. 60‘502.</w:t>
      </w:r>
    </w:p>
    <w:p>
      <w:r>
        <w:t>( Urk.</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w:t>
      </w:r>
    </w:p>
    <w:p>
      <w:r>
        <w:t>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