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UV.2012.00185 vom 4. Februar 2013</w:t>
      </w:r>
    </w:p>
    <w:p>
      <w:r>
        <w:t>ZH Sozialversicherungsgericht, 2013-02-04, DE</w:t>
      </w:r>
    </w:p>
    <w:p>
      <w:r>
        <w:rPr>
          <w:b/>
        </w:rPr>
        <w:t xml:space="preserve">Quelle: </w:t>
      </w:r>
      <w:r>
        <w:t>https://mcp.opencaselaw.ch/entscheid/zh_sozialversicherungsgericht_UV.2012.00185</w:t>
      </w:r>
    </w:p>
    <w:p>
      <w:r>
        <w:t>FR: ZH_SOZIALVERSICHERUNGSGERICHT UV.2012.00185 du 4 février 2013</w:t>
      </w:r>
    </w:p>
    <w:p>
      <w:r>
        <w:t>IT: ZH_SOZIALVERSICHERUNGSGERICHT UV.2012.00185 del 4 febbraio 2013</w:t>
      </w:r>
    </w:p>
    <w:p>
      <w:pPr>
        <w:pStyle w:val="Heading2"/>
      </w:pPr>
      <w:r>
        <w:t>Erwägungen</w:t>
      </w:r>
    </w:p>
    <w:p>
      <w:r>
        <w:rPr>
          <w:b/>
        </w:rPr>
        <w:t>E. 3</w:t>
      </w:r>
    </w:p>
    <w:p>
      <w:r>
        <w:t>3.1Â Â Â Â  Am 28. Januar 2002 erstattete Dr. med. Y.___, OrthopÃ¤dische Chirurgie FMH, ein Gutachten im Auftrag der Beschwerdegegnerin (Urk. 14/M28).</w:t>
      </w:r>
    </w:p>
    <w:p>
      <w:r>
        <w:t>Â Â Â Â Â Â Â Â  Der Gutachter stellte folgende Diagnosen (S. 5 Ziff. 6):</w:t>
      </w:r>
    </w:p>
    <w:p>
      <w:r>
        <w:t>- Status nach offener Fraktur des lateralen Femurkondylus am linken Knie, behandelt mit DÃ©bridement und Taurolin-SpÃ¼lung</w:t>
      </w:r>
    </w:p>
    <w:p>
      <w:r>
        <w:t>- schwere posttraumatische Gonarthrose links</w:t>
      </w:r>
    </w:p>
    <w:p>
      <w:r>
        <w:t>- Status nach valgisierender Tibiakopfosteotomie links</w:t>
      </w:r>
    </w:p>
    <w:p>
      <w:r>
        <w:t>Â Â Â Â Â Â Â Â  Als Beurteilung fÃ¼hrte der Gutachter unter anderem aus, aus heutiger Sicht erscheine es richtig, das linke Knie des BeschwerdefÃ¼hrers nach MÃ¶glichkeit zu schonen (kein Sport, leichte Arbeit) und daneben den weiteren Verlauf abzuwarten (S. 6 oben). Die Frage, bei welchen TÃ¤tigkeiten der Versicherte aufgrund der Unfallverletzung heute behindert sei, beantwortete er mit: Âbei jeder schweren BeschÃ¤ftigung, welche mit lÃ¤ngerem Gehen, Stehen und Tragen verbunden istÂ. Eine Umschulung durch die Invalidenversicherung sei bereits erfolgt (Handelsdiplom vor 6 Monaten), damit habe der Patient jetzt im Prinzip Zugang zu leichteren BÃ¼rotÃ¤tigkeiten (S. 6 Ziff. 8.5).</w:t>
      </w:r>
    </w:p>
    <w:p>
      <w:r>
        <w:t>3.2Â Â Â Â  Am 30. September 2009 ersuchte Dr. med. Z.___, Facharzt OrthopÃ¤dische Chirurgie und Traumatologie des Bewegungsapparates FMH, der den BeschwerdefÃ¼hrer 1998 operiert hatte, die Beschwerdegegnerin um Kostengutsprache fÃ¼r ein Muskelaufbautraining (Urk. 14/M32).</w:t>
      </w:r>
    </w:p>
    <w:p>
      <w:r>
        <w:t>Â Â Â Â Â Â Â Â  Am 26. Januar 2010 erhob Dr. med. A.___, Facharzt OrthopÃ¤dische Chirurgie und Traumatologie des Bewegungsapparates FMH und in der gleichen Praxis wie Dr. Z.___ tÃ¤tig, namens des BeschwerdefÃ¼hrers EinwÃ¤nde gegen den Vorbescheid der Invalidenversicherung und stellte bei dieser den Antrag auf Arbeitsvermittlung (Urk. 14/M34D).</w:t>
      </w:r>
    </w:p>
    <w:p>
      <w:r>
        <w:t>3.3Â Â Â Â  Am 3. Februar 2010 wandte sich Dr. A.___ an die Beschwerdegegnerin (Urk. 14/M34) und fÃ¼hrte aus, er behandle den BeschwerdefÃ¼hrer seit dem 9. Dezember 2009 (S. 1). Als Diagnose nannte er (S. 1 Mitte):</w:t>
      </w:r>
    </w:p>
    <w:p>
      <w:r>
        <w:t>- schwere posttraumatische Gonarthrose links</w:t>
      </w:r>
    </w:p>
    <w:p>
      <w:r>
        <w:t>- Status nach Valgisationsosteotomie links April 1998</w:t>
      </w:r>
    </w:p>
    <w:p>
      <w:r>
        <w:t>- Zustand nach Metallentfernung Dezember 1998</w:t>
      </w:r>
    </w:p>
    <w:p>
      <w:r>
        <w:t>- erhebliche Schmerzzunahme</w:t>
      </w:r>
    </w:p>
    <w:p>
      <w:r>
        <w:t>Â Â Â Â Â Â Â Â  Dr. A.___ fÃ¼hrte unter anderem aus, die Berichte Ã¼ber stattgefundene Reintegrationsversuche zeigten klar auf, dass aus kÃ¶rperlichen GrÃ¼nden zumindest eine etwa 50%ige ArbeitsunfÃ¤higkeit bestehe, da die Schmerzen und SchwellungszustÃ¤nde im betroffenen linken Kniegelenk EinsatzmÃ¶glichkeiten Ã¼ber einen halben Tag hinaus nicht mÃ¶glich machten (S. 2 Mitte).</w:t>
      </w:r>
    </w:p>
    <w:p>
      <w:r>
        <w:t>3.4Â Â Â Â  Am 18. Juli 2010 erstattete Dr. med. B.___, OrthopÃ¤dische Chirurgie und Traumatologie des Bewegungsapparats FMH, ein Gutachten im Auftrag der Invalidenversicherung (Urk. 14/M36). Er stÃ¼tzte sich auf die ihm Ã¼berlassenen Akten (S. 5 ff.), die Angaben des BeschwerdefÃ¼hrers (S. 19 ff.) und die von ihm am 6. Mai 2010 (S. 0) erhobenen Befunde (S. 31 ff.).</w:t>
      </w:r>
    </w:p>
    <w:p>
      <w:r>
        <w:t>Â Â Â Â Â Â Â Â  Der Gutachter stellte folgende Diagnosen mit Einfluss auf die ArbeitsfÃ¤higkeit (S. 44 Ziff. 3.1.1):</w:t>
      </w:r>
    </w:p>
    <w:p>
      <w:r>
        <w:t>- posttraumatische Gonarthrose links, chronisch anhaltende, rezidivierende Kniegelenksbeschwerden mit BewegungseinschrÃ¤nkung links nach / bei</w:t>
      </w:r>
    </w:p>
    <w:p>
      <w:r>
        <w:t>- penetrierender / perforierender Verletzung des linken Kniegelenkes am 31. Oktober 1985</w:t>
      </w:r>
    </w:p>
    <w:p>
      <w:r>
        <w:t>- Flake-fracture an der inneren Knierolle und</w:t>
      </w:r>
    </w:p>
    <w:p>
      <w:r>
        <w:t>- Quadrizepssehnen-Teilverletzung durch Sturz auf eine Reckstangen-Halterung mit</w:t>
      </w:r>
    </w:p>
    <w:p>
      <w:r>
        <w:t>- nachfolgender Kniegelenksrevisions-Operation und Taurolin-SpÃ¼lung sowie</w:t>
      </w:r>
    </w:p>
    <w:p>
      <w:r>
        <w:t>- sekundÃ¤rer schwerwiegender Knorpelerweichung am linken Kniegelenk und der damit begrÃ¼ndeten Revisionsoperation am 25. November 1986</w:t>
      </w:r>
    </w:p>
    <w:p>
      <w:r>
        <w:t>- Re-Operation am 17. November 1987 mit Arthroskopie und KniegelenksspÃ¼lung sowie</w:t>
      </w:r>
    </w:p>
    <w:p>
      <w:r>
        <w:t>-</w:t>
      </w:r>
    </w:p>
    <w:p>
      <w:r>
        <w:rPr>
          <w:b/>
        </w:rPr>
        <w:t>E. 4</w:t>
      </w:r>
    </w:p>
    <w:p>
      <w:r>
        <w:t>4.1Â Â Â Â  Aus allen medizinischen Beurteilungen geht Ã¼bereinstimmend hervor, dass angesichts der Knieproblematik die frÃ¼here TÃ¤tigkeit des BeschwerdefÃ¼hrers als Koch und KÃ¼chenchef denkbar ungeeignet ist.</w:t>
      </w:r>
    </w:p>
    <w:p>
      <w:r>
        <w:t>Â Â Â Â Â Â Â Â  Dies ist denn auch nicht strittig.</w:t>
      </w:r>
    </w:p>
    <w:p>
      <w:r>
        <w:t>4.2Â Â Â Â  Was die ArbeitsfÃ¤higkeit in leidensangepasster TÃ¤tigkeit anbelangt, weichen die Beurteilungen in gewisser Hinsicht voneinander ab.</w:t>
      </w:r>
    </w:p>
    <w:p>
      <w:r>
        <w:t>Â Â Â Â Â Â Â Â  Nicht abgestellt werden kann dabei auf die EinschÃ¤tzung des behandelnden Dr. A.___, wonach eine ArbeitsunfÃ¤higkeit von mindestens 50 % bestehe (vorstehend E. 3.3). Angesichts der grossen Differenz zu spÃ¤ter erstellten und ausfÃ¼hrlich begrÃ¼ndeten Beurteilungen ist sie zu wenig nachvollziehbar begrÃ¼ndet, um als Ã¼berzeugender gewertet werden zu kÃ¶nnen, sondern ist eher geeignet, den Erfahrungssatz, dass HausÃ¤rztinnen und HausÃ¤rzte mitunter im Hinblick auf ihre auftragsrechtliche Vertrauensstellung in ZweifelsfÃ¤llen eher zu Gunsten ihrer Patientinnen und Patienten aussagen (BGE 125 V 351 E. 3b/cc), zu bestÃ¤tigen.</w:t>
      </w:r>
    </w:p>
    <w:p>
      <w:r>
        <w:t>Â 4.3Â Â Â  GemÃ¤ss dem 2010 erstellten Gutachten besteht eine volle ArbeitsfÃ¤higkeit fÃ¼r vorwiegend sitzende TÃ¤tigkeiten ohne Wegstrecken Ã¼ber 1Â000 m, ohne hÃ¤ufiges Besteigen von Treppen und insbesondere von Leitern und GerÃ¼sten, ohne SprÃ¼nge aus grÃ¶sserer HÃ¶he, ohne Einnahme der Hock- und der Knieposition, ohne gewaltsames Strecken und Beugen des linken Kniegelenkes und ohne Heben und Tragen von mittelschweren und schweren Lasten (vorstehend E. 3.4).</w:t>
      </w:r>
    </w:p>
    <w:p>
      <w:r>
        <w:t>Â Â Â Â Â Â Â Â  Auch der konsiliarisch beigezogene OrthopÃ¤de der D.___ Klinik erachtete im MÃ¤rz / April 2012 eine angepasste, wenig bis nicht belastende TÃ¤tigkeit mit wechselnder Position als zu 100 % zumutbar (vorstehend E. 3.5).</w:t>
      </w:r>
    </w:p>
    <w:p>
      <w:r>
        <w:t>4.4Â Â Â Â  In den Berichten der Ãrzte der Kliniken E.___ wurde eine leichte TÃ¤tigkeit ebenfalls als ganztÃ¤gig mÃ¶glich erachtet, allerdings teilweise mit (unterschiedlich quantifiziertem) zusÃ¤tzlichem Pausenbedarf (vorstehend E. 3.6).</w:t>
      </w:r>
    </w:p>
    <w:p>
      <w:r>
        <w:t>Â Â Â Â Â Â Â Â  Dabei ist erstens auf gewisse Unstimmigkeiten hinzuweisen: Im internistisch-rheumatologischen Teilbericht wurde unter anderem darauf hingewiesen, dass die angegebenen Beschwerden objektiv nicht ganz nachvollziehbar seien, und dass der Versicherte sicher mehr arbeitsfÃ¤hig sei als es seiner eigenen EinschÃ¤tzung entspreche; im spÃ¤ter erstellten Konsensbericht fehlt jedoch jegliche Bezugnahme auf diese Feststellungen.</w:t>
      </w:r>
    </w:p>
    <w:p>
      <w:r>
        <w:t>Â Â Â Â Â Â Â Â  Zweitens fÃ¤llt auf, dass im Belastungsprofil nicht - wie bei einer Knieproblematik zu erwarten wÃ¤re - eine primÃ¤r sitzende TÃ¤tigkeit mit der MÃ¶glichkeit zum Positionswechsel als Ausgangspunkt formuliert, sondern nur nebst einer leichten TÃ¤tigkeit (prÃ¤zisiert mit einer Gewichtslimite) ein zusÃ¤tzlicher Pausenbedarf postuliert wurde. Im Testbericht wurde dieser auf 1 Stunde tÃ¤glich geschÃ¤tzt, im Konsensbericht sodann auf 2 Stunden.</w:t>
      </w:r>
    </w:p>
    <w:p>
      <w:r>
        <w:t>Â Â Â Â Â Â Â Â  Schlecht vereinbar sind beide Angaben zum Pausenbedarf jedoch mit der (einleuchtenden) Feststellung im Testbericht, aus funktioneller Sicht habe der BeschwerdefÃ¼hrer die frÃ¼here BÃ¼rotÃ¤tigkeit bewÃ¤ltigen kÃ¶nnen, da er die sitzende TÃ¤tigkeit bei Bedarf habe unterbrechen und das linke Bein entlasten kÃ¶nnen. Auf Pausen im Sinne von ArbeitsunterbrÃ¼chen wurde dabei nicht Bezug genommen.</w:t>
      </w:r>
    </w:p>
    <w:p>
      <w:r>
        <w:t>Â Â Â Â Â Â Â Â  Dies alles ergibt nur dann einen Sinn, wenn der postulierte zusÃ¤tzliche Pausenbedarf (unterschiedlichen Ausmasses) nicht dahingehend verstanden wird, dass der BeschwerdefÃ¼hrer im genannten zeitlichen Umfang seine BÃ¼rotÃ¤tigkeit gÃ¤nzlich bleiben lassen solle, sondern dahingehend, dass er die MÃ¶glichkeit haben sollte, aus der meistens sitzenden Position in Positionen zu wechseln, welche sein linkes Knie anders belastet als im Sitzen. Ist er in Wechselpositionen weiterhin produktiv (was bei BÃ¼rotÃ¤tigkeiten ohne weiteres anzunehmen ist), so erfÃ¤hrt sein Knie die erforderliche zeitweilige Entlastung; es ist mithin nicht der BeschwerdefÃ¼hrer, der (von der Arbeit) pausiert, sondern er kann seinem Knie vermehrte Pausen gÃ¶nnen.</w:t>
      </w:r>
    </w:p>
    <w:p>
      <w:r>
        <w:t>Â Â Â Â Â Â Â Â  Dies fÃ¼hrt zum Schluss, dass auch die Beurteilungen der Ãrzte der Kliniken E.___, widerspruchsfrei verstanden, nicht gegen eine ganztÃ¤gige Arbeitsleistung in vorwiegend sitzenden TÃ¤tigkeiten mit Gelegenheiten zum Positionswechsel sprechen.</w:t>
      </w:r>
    </w:p>
    <w:p>
      <w:r>
        <w:t>4.5Â Â Â Â  Somit ist der medizinische Sachverhalt als dahingehend erstellt festzuhalten, dass fÃ¼r vorwiegend sitzende und einigen weiteren Anforderungen (vorstehend E. 4.3) genÃ¼gende TÃ¤tigkeiten eine volle ArbeitsfÃ¤higkeit besteht.</w:t>
      </w:r>
    </w:p>
    <w:p>
      <w:r>
        <w:rPr>
          <w:b/>
        </w:rPr>
        <w:t>E. 5</w:t>
      </w:r>
    </w:p>
    <w:p>
      <w:r>
        <w:t>5.1Â Â Â Â  Der BeschwerdefÃ¼hrer hat eine Kochlehre absolviert und anschliessend bis 1998 auf diesem Beruf gearbeitet, dies seit 1995 als KÃ¼chenchef (vgl. Urk. 14/M36 S. 29). Aus den vorhandenen Unterlagen geht klar hervor, dass die Aufgabe dieser BerufstÃ¤tigkeit (und die Umschulung in eine kaufmÃ¤nnische Richtung) aufgrund der Knieproblematik - welche lÃ¤ngeres Stehen und Gehen einschrÃ¤nkt - erfolgt ist.</w:t>
      </w:r>
    </w:p>
    <w:p>
      <w:r>
        <w:t>Â Â Â Â Â Â Â Â  Dementsprechend ist als Ã¼berwiegend wahrscheinlich anzunehmen, dass der BeschwerdefÃ¼hrer im vorliegend zu beurteilenden Zeitpunkt (2011) ohne den genannten Gesundheitsschaden weiterhin als Koch tÃ¤tig wÃ¤re.</w:t>
      </w:r>
    </w:p>
    <w:p>
      <w:r>
        <w:t>Â Â Â Â Â Â Â Â  Sein damit erzieltes Einkommen (Valideneinkommen) ergibt sich aus dem auf 2011 hochgerechneten Einkommen, dass er vor dem Branchenwechsel in der beruflich fortgeschrittensten Position als KÃ¼chenchef erzielt hat. GemÃ¤ss Auszug aus dem individuellen Konto hat der BeschwerdefÃ¼hrer im Jahr 1997 Fr. 66Â600.-- verdient (Urk. 18 S. 3). Der Nominallohnindex fÃ¼r MÃ¤nner war 1997 auf dem Stand von 1Â818 Punkten (Die Volkswirtschaft 7/2002 S. 89 Tab. B 10.3) und 2011 auf dem Stand von 2Â171 Punkten (Die Volkswirtschaft 10/2012 S. 95 Tab. B 10.3). Demnach belÃ¤uft sich das Valideneinkommen im Jahr 2011 auf rund Fr. 79Â352.-- (Fr. 66Â600.- : 1Â818 x 2Â171).</w:t>
      </w:r>
    </w:p>
    <w:p>
      <w:r>
        <w:t>5.2Â Â Â Â  Als Invalideneinkommen ist der Betrag einzusetzen, den der BeschwerdefÃ¼hrer trotz seines Knieleidens zumutbarerweise verdienen kÃ¶nnte.</w:t>
      </w:r>
    </w:p>
    <w:p>
      <w:r>
        <w:t>Â Â Â Â Â Â Â Â  Aus medizinischer Sicht sind dem BeschwerdefÃ¼hrer vorwiegend sitzende TÃ¤tigkeiten zumutbar (vorstehend E. 4.5). Er hat 2001 erfolgreich eine Handelsschule abgeschlossen (Urk. 14/M36 S. 30). Es erscheint deshalb sachgerecht, auf TabellenlÃ¶hne gemÃ¤ss LSE (vorstehend E. 1.4) abzustellen und dabei von TÃ¤tigkeiten im Sekretariats- und Kanzleibereich auszugehen. Angesichts der erfolgten Umschulung wÃ¤re dabei vertretbar, die LÃ¶hne fÃ¼r TÃ¤tigkeiten mit vorausgesetzten Berufs- und Fachkenntnissen (Niveau 3) heranzuziehen. Da der BeschwerdefÃ¼hrer aber doch nicht Ã¼ber einen eigentlichen kaufmÃ¤nnischen Lehrabschluss verfÃ¼gt, ist - zu seinen Gunsten - auf die LÃ¶hne fÃ¼r einfache und repetitive TÃ¤tigkeiten (Niveau 4) in diesem Bereich abzustellen.</w:t>
      </w:r>
    </w:p>
    <w:p>
      <w:r>
        <w:t>5.3Â Â Â Â  Im Jahr 2010 betrug das mittlere von MÃ¤nnern auf Niveau 4 mit Sekretariats- und Kanzleiarbeiten erzielte monatliche Einkommen Fr. 5Â909.-- (LSE 2010 S. 31 Tab. T7S Ziff. 22). Umgerechnet auf ein Jahr, die durchschnittliche Wochenarbeitszeit von 41.7 Stunden (Die Volkswirtschaft 10/2012 S. 94 Tab. B9.2) und der Nominallohnentwicklung von 1.0 % im Jahr 2011 (Die Volks-wirtschaft a.a.0. S. 95 Tab. B 10.2) angepasst, ergibt dies rund Fr. 74Â661.-- (Fr. 5Â909.-- x 12 : 40 x 41.7 x 1.01).</w:t>
      </w:r>
    </w:p>
    <w:p>
      <w:r>
        <w:t>5.4Â Â Â Â  Bei einem Valideneinkommen von Fr. 79Â352.-- (vorstehend E. 5.1) und einem Invalideneinkommen von Fr. 74Â661.-- (vorstehend E. 5.3) betrÃ¤gt die Einkommenseinbusse Fr. 4Â691.--, was einen InvaliditÃ¤tsgrad von rund 6 % ergibt.</w:t>
      </w:r>
    </w:p>
    <w:p>
      <w:r>
        <w:t>Â Â Â Â Â Â Â Â  Anhaltspunkte, dass - nachdem allfÃ¤lligen Erschwernissen bereits mit dem Abstellen auf die LÃ¶hne von Niveau 4 statt Niveau 3 nachhaltig Rechnung getragen wurde - ein zusÃ¤tzlicher Abzug vom Tabellenlohn (vorstehend E. 1.4) angebracht wÃ¤re, gibt es keine.</w:t>
      </w:r>
    </w:p>
    <w:p>
      <w:r>
        <w:t>Â Â Â Â Â Â Â Â  Somit hat es mit einem InvaliditÃ¤tsgrad von 6 % - und damit weniger als 10 % (vgl. vorstehend E. 1.1) - sein Bewenden.</w:t>
      </w:r>
    </w:p>
    <w:p>
      <w:r>
        <w:t>5.5Â Â Â Â  Zusammenfassend ist festzuhalten, dass kein rentenbegrÃ¼ndender InvaliditÃ¤tsgrad besteht.</w:t>
      </w:r>
    </w:p>
    <w:p>
      <w:r>
        <w:t>Â Â Â Â Â Â Â Â  Der angefochtene Entscheid der Beschwerdegegnerin erweist sich damit als rechtens und die dagegen erhobene Beschwerde ist abzuweisen.</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Schweizerische National-Versicherungs-Gesellschaft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