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UV.2012.00130 vom 21. November 2013</w:t>
      </w:r>
    </w:p>
    <w:p>
      <w:r>
        <w:t>ZH Sozialversicherungsgericht, 2013-11-21, DE</w:t>
      </w:r>
    </w:p>
    <w:p>
      <w:r>
        <w:rPr>
          <w:b/>
        </w:rPr>
        <w:t xml:space="preserve">Quelle: </w:t>
      </w:r>
      <w:r>
        <w:t>https://mcp.opencaselaw.ch/entscheid/zh_sozialversicherungsgericht_UV.2012.00130</w:t>
      </w:r>
    </w:p>
    <w:p>
      <w:r>
        <w:t>FR: ZH_SOZIALVERSICHERUNGSGERICHT UV.2012.00130 du 21 novembre 2013</w:t>
      </w:r>
    </w:p>
    <w:p>
      <w:r>
        <w:t>IT: ZH_SOZIALVERSICHERUNGSGERICHT UV.2012.00130 del 21 novembre 2013</w:t>
      </w:r>
    </w:p>
    <w:p>
      <w:pPr>
        <w:pStyle w:val="Heading2"/>
      </w:pPr>
      <w:r>
        <w:t>Erwägungen</w:t>
      </w:r>
    </w:p>
    <w:p>
      <w:r>
        <w:rPr>
          <w:b/>
        </w:rPr>
        <w:t>E. 1.1</w:t>
      </w:r>
    </w:p>
    <w:p>
      <w:r>
        <w:t>Gemäss Art. 6 Abs. 1 des Bundesgesetzes über die Unfallversicherung (UVG) werden - soweit das Gesetz nichts anderes bestimmt - die Versicherungsleistun gen bei Berufsunfällen, Nichtberufsunfällen und Berufskrankheiten gewährt.</w:t>
      </w:r>
    </w:p>
    <w:p>
      <w:r>
        <w:rPr>
          <w:b/>
        </w:rPr>
        <w:t>E. 1.2</w:t>
      </w:r>
    </w:p>
    <w:p>
      <w:r>
        <w:t>Die Leistungspflicht eines Unfallversicherers gemäss UVG setzt voraus, dass zwischen dem Unfallereignis und dem eingetretenen Schaden (Krankheit, Inva lidität, Tod) ein natürlicher Kausalzusammenhang besteht. Ursachen im Sin ne des natürlichen Kausalzusammenhangs sind alle Um stände, ohne deren Vor handensein der eingetretene Erfolg nicht als einge treten oder nicht als in der gleichen Weise beziehungsweise nicht zur gleichen Zeit eingetret en gedacht werden kann. Entspre chend dieser Umschreibung ist für die Bejahung des na türli chen Kau salzusammenhangs nicht erforderlich, dass ein Unfall die al leinige oder unmittelbare Ursache gesundheitlicher Störunge n ist; es genügt, dass das schädigende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 erwaltung beziehungsweise im Be schwerdefall das Gericht im Rah men der ihm obliegenden Beweis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1.3</w:t>
      </w:r>
    </w:p>
    <w:p>
      <w:r>
        <w:t>Gemäss Art. 11 UVG hat die versicherte Person Anspruch auf die Hilfsmittel, die körperliche Schädigungen oder Funktionsausfälle ausgleichen. Der Bundesrat erstellt die Liste dieser Hilfsmittel. Die Hilfsmittel müssen einfach und zweck mässig sein.</w:t>
      </w:r>
    </w:p>
    <w:p>
      <w:r>
        <w:t>In Art. 19 der Verordnung über die Unfallversicherung (UVV) hat der Bundesrat die Kompetenz zum Erlass der Hilfsmittelverordnung an das Eidgenössische Departement des Innern delegiert, das seinerseits die Verordnung über die Ab gabe von Hilfsmitteln durch die Unfallversicherung (HVUV) mit anhangsweise aufgestellter Liste der abzugebenden Hilfsmittel erlassen hat. Unter dem Titel „Orthopädisches Schuhwerk“ sind in Ziff. 4 der Hilfsmittelliste orthopädische Massschuhe (Ziff. 4.01), kostspielige orthopädische Änderungen an Serienschuhen (Ziff. 4.02) und Schuheinlagen (Ziff. 4.03) aufgeführt.</w:t>
      </w:r>
    </w:p>
    <w:p>
      <w:r>
        <w:rPr>
          <w:b/>
        </w:rPr>
        <w:t>E. 2</w:t>
      </w:r>
    </w:p>
    <w:p>
      <w:r>
        <w:t>S. 4 Ziff. 2 i.V.m . Urk. 1 S. 3 Ziff. 2).</w:t>
      </w:r>
    </w:p>
    <w:p>
      <w:r>
        <w:t>Gestützt auf die Beurteilung von Dr. D.___ vom 6. Juli 2012 ( Urk.</w:t>
      </w:r>
    </w:p>
    <w:p>
      <w:r>
        <w:rPr>
          <w:b/>
        </w:rPr>
        <w:t>E. 2.1</w:t>
      </w:r>
    </w:p>
    <w:p>
      <w:r>
        <w:t>Gestützt auf die Beurteilung von Dr. med. D.___ , Facharzt für Chirurgie, vom 24. Januar 2012 ( Urk. 8/334 am Ende)</w:t>
      </w:r>
    </w:p>
    <w:p>
      <w:r>
        <w:t>bejahte die Suva die teilweise Unfallkausalität der beim Versicherten bestehenden Beinlängendifferenz von 15 mm . Die Indikation für die Versorgung mit orthopädischen Serienschuhen verneinte sie hingegen mit dem Hinweis, es genüge, wenn jeweils bei Konfektionsschuhen eine Absatzerhöhung vorgenommen werde . Entsprechend gewährte sie dem Versicherten eine Kostengutsprache für Absatzanpassungen (Absatzerhöhungen und Gleitschutzsohlen) für zwei Paar Konfektionsschuhe pro Jahr ( Urk.</w:t>
      </w:r>
    </w:p>
    <w:p>
      <w:r>
        <w:rPr>
          <w:b/>
        </w:rPr>
        <w:t>E. 2.2</w:t>
      </w:r>
    </w:p>
    <w:p>
      <w:r>
        <w:t>Dagegen macht der Versicherte im Wesentlichen geltend, die Suva habe die orthopädische Schuhversorgung als Folge des Unfalls vom 2 2. Mai 2000 über Jahre in Form von orthopädischen Serienschuhe n mit Absatzerhöhungen zum Beinverkürzungsausgleich, eingebauten Fussbettungen und Gleitschutzsohlen übernommen. Die über längere Zeit so anerkannte Leistungspflicht in Frage zu stellen sei als ein unzulässiges Venire contra factum proprium zu qualifizieren ( Urk. 1 S. 3 Ziff. 3). Zudem mache es im Rahmen der gesamthaft vorzunehmen den Schuhanpassung keinen Sinn, diese mit Konfektionsschuhen vorzunehmen (Urk. 1 S. 4 Ziff. 5).</w:t>
      </w:r>
    </w:p>
    <w:p>
      <w:r>
        <w:t>3.</w:t>
      </w:r>
    </w:p>
    <w:p>
      <w:r>
        <w:t>Der Beschwerdeführer beruft sich auf die von der Suva bislang ausgerichteten Leistungen und leitet daraus unter dem Titel von Treu und Glauben einen An spruch auf weitere Übernahme der Kosten für orthopädische Serienschuhe ab. Das Bundesgericht hat in BGE 130 V 380 in Präzisierung und Vereinheitlichung der bisherigen Rechtsprechung klargestellt, dass der Unfallversicherer befugt ist, bisher erbrachte Leistungen mit Wirkung ex nunc et pro futuro einzustellen, ohne dass hierfür ein Rückkommenstitel erforderlich ist (E. 2.3.1). Allein aus dem Umstand bisheriger Kostenübernahme kann der Beschwerdeführer somit nichts zu seinen Gunsten ableiten.</w:t>
      </w:r>
    </w:p>
    <w:p>
      <w:r>
        <w:t>Dass ein allfälliger Vertrauensschutz der Leistungseinstellung entgegensteht, ist ebenfalls zu verneinen, da Dispositionen, die nicht ohne Nachteil rückgängig gemacht werden können (BGE 121 V 65 E. 2a), weder vom Beschwerdeführer behauptet werden noch aus den Akten ersichtlich sind. 4 . 4 .1</w:t>
      </w:r>
    </w:p>
    <w:p>
      <w:r>
        <w:t>Gemäss der</w:t>
      </w:r>
    </w:p>
    <w:p>
      <w:r>
        <w:t>kreisärztlich en Beurteilung von Dr. D.___ vom 6. Juli 2012 ist zum Ausgleich der teilweise durch den Unfall verursachte n Beinlängendifferenz im Umfang von 15 mm das Tragen von orthopädischen Massschuhen nicht erfor derlich, sondern es genügt eine Absatzerhöhung des Konfektionsschuhs auf der Seite der Beinverkürzung. Zudem seien somatische gesundheitliche Probleme im Zusammenhang mit den objektivierten Unfallfolgen durch einen Wechsel von orthopädischen Massschuhen auf Konfektionsschuhe mit adäquater Absatzerhöhung nicht zu erwarten.</w:t>
      </w:r>
    </w:p>
    <w:p>
      <w:r>
        <w:t>Dass bereits seit 10 Jahren orthopädische Massschuhe getragen worden seien, ändere nichts an der chirurgisch - orthopädischen Beurteilung, wonach eine Indi kation zur Verwendung solcher Schuhe zur Behandlung von Unfallfolgen nie bestanden ha be . Auch die Versorgung mit Einlagen in den Schuhen sei nicht mit der Behandlung von Unfallfolgen begründbar, sondern finde vielmehr ihre Ursache in der Senkspreizfussdeformität ( Urk.</w:t>
      </w:r>
    </w:p>
    <w:p>
      <w:r>
        <w:rPr>
          <w:b/>
        </w:rPr>
        <w:t>E. 7</w:t>
      </w:r>
    </w:p>
    <w:p>
      <w:r>
        <w:t>S. 2 Abs. 3 am Ende und S. 3-4 ad 1-4). 4 .2</w:t>
      </w:r>
    </w:p>
    <w:p>
      <w:r>
        <w:t>Die von Dr. D.___ abgegebene Beurteilung erweist sich als schlüssig, nachvollzieh bar und überzeugend, weshalb darauf abgestellt werden kann. Entsprechend ist festzuhalten, dass die Suva zu R echt lediglich die Versorgung von zwei Paar Schuhen pro Jahr mit Absatzerhöhungen und Gleitschutzsohlen ( Urk. 2 S. 4 Ziff. 2 i.V.m . Urk. 1 S. 3 Ziff. 2) übernimmt. Dies steht auch im Ein klang mit der Telefonnotiz vom 2 0. August 2004 ( Urk. 8/158), wonach aufgrund der infolge des Unfalls resultierenden Beinlängendifferenz ab dem Jahr 2002 le diglich eine Schuhabsatzerhöhung vorgenommen worden sei.</w:t>
      </w:r>
    </w:p>
    <w:p>
      <w:r>
        <w:t>D ie vom Versi cherten mit Eingabe vom 1 6. Mai 2011 ( Urk. 8/311 S. 1-3) eingereichten Be richte der behandelnden Ärzte ( Urk. 8/311 S. 4-7)</w:t>
      </w:r>
    </w:p>
    <w:p>
      <w:r>
        <w:t>weisen</w:t>
      </w:r>
    </w:p>
    <w:p>
      <w:r>
        <w:t>zwar</w:t>
      </w:r>
    </w:p>
    <w:p>
      <w:r>
        <w:t>auf die Notwen digkeit der Versorgung mit orthopädischen Serienschuhen hin, ohne diese je doch näher zu begründen. Sie vermögen somit die Beurteilung von Dr. D.___ nicht in Frage zu stellen.</w:t>
      </w:r>
    </w:p>
    <w:p>
      <w:r>
        <w:t>Sollte sich aufgrund der zusätzlich vorhandenen , nicht unfallkausalen Senkspreizfussdeformitäten die Verwendung von orthopädischen Serienschuhen dennoch als zweckmässig e rweisen , ist</w:t>
      </w:r>
    </w:p>
    <w:p>
      <w:r>
        <w:t>dem Versicherten die Möglichkeit ein zuräumen, den von der Suva zu leistende n Beitrag an Absatzerhöhungen und Gleitschutzsohlen im Rahmen der jeweiligen Herstellung von orthopädischen Serienschuhen zu verwende n . 5 .</w:t>
      </w:r>
    </w:p>
    <w:p>
      <w:r>
        <w:t>Zusammenfassend ist somit festzuhalten, dass der Beschwerdeführer Anrecht auf die Kostengutsprache für Absatzanpassungen für zwei Paar Konfektionsschuhe pro Jahr hat . Der angefochtene Einspracheentscheid erweist sich somit als richtig, weshalb die Beschwerde abzuweisen ist. Das Gericht erkennt: 1.</w:t>
      </w:r>
    </w:p>
    <w:p>
      <w:r>
        <w:t>Die Beschwerde wird abgewiesen. 2.</w:t>
      </w:r>
    </w:p>
    <w:p>
      <w:r>
        <w:t>Das Verfahren ist kostenlos. 3.</w:t>
      </w:r>
    </w:p>
    <w:p>
      <w:r>
        <w:t>Zustellung gegen Empfangsschein an: - Rechtsanwalt Viktor Györffy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GrünigRangoni-Bertini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