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UV.2012.00115 vom 24. September 2013</w:t>
      </w:r>
    </w:p>
    <w:p>
      <w:r>
        <w:t>ZH Sozialversicherungsgericht, 2013-09-24, DE</w:t>
      </w:r>
    </w:p>
    <w:p>
      <w:r>
        <w:rPr>
          <w:b/>
        </w:rPr>
        <w:t xml:space="preserve">Quelle: </w:t>
      </w:r>
      <w:r>
        <w:t>https://mcp.opencaselaw.ch/entscheid/zh_sozialversicherungsgericht_UV.2012.00115</w:t>
      </w:r>
    </w:p>
    <w:p>
      <w:r>
        <w:t>FR: ZH_SOZIALVERSICHERUNGSGERICHT UV.2012.00115 du 24 septembre 2013</w:t>
      </w:r>
    </w:p>
    <w:p>
      <w:r>
        <w:t>IT: ZH_SOZIALVERSICHERUNGSGERICHT UV.2012.00115 del 24 settembre 2013</w:t>
      </w:r>
    </w:p>
    <w:p>
      <w:pPr>
        <w:pStyle w:val="Heading2"/>
      </w:pPr>
      <w:r>
        <w:t>Erwägungen</w:t>
      </w:r>
    </w:p>
    <w:p>
      <w:r>
        <w:rPr>
          <w:b/>
        </w:rPr>
        <w:t>E. 1</w:t>
      </w:r>
    </w:p>
    <w:p>
      <w:r>
        <w:t>X.___ , geboren 196</w:t>
      </w:r>
    </w:p>
    <w:p>
      <w:r>
        <w:rPr>
          <w:b/>
        </w:rPr>
        <w:t>E. 1.1</w:t>
      </w:r>
    </w:p>
    <w:p>
      <w:r>
        <w:t>Nach Art. 10 Abs. 1 des Bundesgesetzes über die Unfallversicherung (UVG) hat die versicherte Person Anspruch auf die zweckmässige Behandlung ihrer Un fallfolgen. Ist sie infolge des Unfalles voll oder teilweise arbeitsunfähig ( Art. 6 des Bundesgesetzes über den Allgemeinen Teil des Sozialversicherungsrechts, ATSG), so steht ihr gemäss Art. 16 Abs. 1 UVG ein Taggeld zu. Wird sie infolge des Unfalles zu mindestens 10 Prozent invalid ( Art.</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1.3</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Angestelltenverhältnis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122 V 157 E. 1c; vgl. auch BGE 123 V 331 E. 1c).</w:t>
      </w:r>
    </w:p>
    <w:p>
      <w:r>
        <w:rPr>
          <w:b/>
        </w:rPr>
        <w:t>E. 1.4</w:t>
      </w:r>
    </w:p>
    <w:p>
      <w:r>
        <w:t>). 4.4</w:t>
      </w:r>
    </w:p>
    <w:p>
      <w:r>
        <w:t>Demnach ist von einer 100%igen Arbeitsfähigkeit in einer angepassten, dem durch Dr . A.___ umschriebenen Arbeitsprofil entsprechenden Tätigkeit auszu gehen. Bezüglich des Einwandes der Beschwerdeführerin, ihr sei es gestützt auf Dr. F.___</w:t>
      </w:r>
    </w:p>
    <w:p>
      <w:r>
        <w:t>zudem unmöglich, feinmotorische Tätigkeiten</w:t>
      </w:r>
    </w:p>
    <w:p>
      <w:r>
        <w:t>auszuüben (vgl. Urk. 1 S. 4 ff., Urk. 14 S. 2 ff.) ,</w:t>
      </w:r>
    </w:p>
    <w:p>
      <w:r>
        <w:t>und dass sie entgegen der Auffas s ung der Beschwerde gegnerin bei ihrer jetzigen Tätigkeit im Versand wie auch bei jeder anderen Sekretari a tsarbeit , insbesondere auch bei Schreibarbeiten, erheblich einge schränkt sei (vgl. Urk. 14 S. 4 f.) , ist anzumerken, dass gestützt auf die gesamte Aktenlage davon aus gegangen werden kann , dass Tätig keiten, die anspruchs volle feinmotorische Arbeiten be inhalten, für die Beschwerdeführerin dann nicht geeig n et sind, wenn auch der Mittel-, Ring- und der kleine Finger der rechten Hand eingesetzt werden müssten. Mit dem Daumen und dem Zeigefin ger der rechten Hand kann sie aber unstrittig leichtere manuelle Tätigkeiten ausüben. Die Berufsabklärung in der Rehaklinik E.___</w:t>
      </w:r>
    </w:p>
    <w:p>
      <w:r>
        <w:t>hat denn auch aufge zeigt, dass d er Bereich Büro/Administration/Sachbearbeitung nicht nur den In teressen der Beschwerdeführerin entspr icht , sondern dass sie in diesem Bereich, wenn es sich um einfache Büroarbeiten hande lt , die körperlich leicht, wechsel belastend und vorwiegend im Sitzen zu verrichten s ind , voll einsetzbar ist. Das handwerkliche Geschick wurde sodann ausdrücklich als gut beurteilt und die Arbeitsweise als sorgfältig. Einzig die Quantität ist leicht verlangsamt gewesen (vgl. vorn E. 3.11). Dr. B.___ hält</w:t>
      </w:r>
    </w:p>
    <w:p>
      <w:r>
        <w:t>ferner in seinem Bericht vom 6. Mai 2011 fest, die Beschwerdeführerin habe ihm gegenüber ausgeführt, dass sie noch in der Lage sei, die Tastatur im Zehnfingersystem zu bedienen , wenn auch zeitlich verlangsamt . Bei komplexen Manipulationen sei demnach mit einer leichten Verlangsamung zu rechnen. Diese Feststellung entspricht dem Ergebnis der Berufsabklärung. Der Umstand, dass die Beschwerdeführerin offenbar nun mehr bei der C.___</w:t>
      </w:r>
    </w:p>
    <w:p>
      <w:r>
        <w:t>an einem reinen Computer-Arbeitsplatz arbeite t und gute Arbeitsleistungen erbringt (vgl. vorn E. 3.14) , weist ebenfalls darauf hin, dass die Beschwerdeführerin bezüglich Schreibarbeiten und feinmotorischem Geschick nicht derart eingeschränkt ist, wie sie beschwerdeweise vorbringt . Daran ändert auch die Beurteilung durch Dr . F.___ nichts , der lediglich fest hält, dass eine feine manuelle Tätigkeit stark vermindert sei (vgl. vorn E. 3.15) . Diese Feststellung entspricht nicht der beruflichen Abklärung. In Berücksichti gung sämtlicher Umstände k ann wohl von einer leichten Beeint rächtigung der Geschicklichkeit und einer leichten Verlangsamung bei komplexeren Manipula tionen ausgegangen w erden.</w:t>
      </w:r>
    </w:p>
    <w:p>
      <w:r>
        <w:t>Wie bereits ausgeführt (vgl. E. 4.2), ist der Be schwerdeführerin eine solch angepasste Tätigkeit vollumfänglich zumutbar. 5.</w:t>
      </w:r>
    </w:p>
    <w:p>
      <w:r>
        <w:rPr>
          <w:b/>
        </w:rPr>
        <w:t>E. 5</w:t>
      </w:r>
    </w:p>
    <w:p>
      <w:r>
        <w:t>, war seit 1. Mai 2008 als Zustellerin bei der Y.___ tätig und in dieser Eigenschaft bei der Schweize rischen Unfallversicherungsanstalt (SUVA) gegen die Folgen vo n U nfällen ver sichert. Am 11. Mai 2009 stürzte die Versicherte bei der Arbeit auf kiesiger Un terlage (Urk. 11/1/1) . Dabei zog sie sich eine Fraktur der Grundphalanx am rechten Kleinfinger sowie eine Prellung des rechten Knies zu (Urk. 11/2). Am 27. August 2009 wurde im Spital Z.___ ein komplexes regionales Schmerzsyndrom ( CRPS ) an der rechten Hand unter Einbezug aller Langfinger diagnostiziert (Urk. 11/7/2) .</w:t>
      </w:r>
    </w:p>
    <w:p>
      <w:r>
        <w:t>Die SUVA erbrachte für die Folgen dieses Ereignisses die gesetzlichen Leistun gen.</w:t>
      </w:r>
    </w:p>
    <w:p>
      <w:r>
        <w:rPr>
          <w:b/>
        </w:rPr>
        <w:t>E. 5.1</w:t>
      </w:r>
    </w:p>
    <w:p>
      <w:r>
        <w:t>Bei der Bemessung des ohne Invalidität erzielbaren Einkommens (Validen - einkom men)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weil es der Erfahrung entspricht, dass die bisherige Tätigkeit ohne Gesundheitsschaden fortgesetzt worden wäre. Ausnahmen müssen mit überwiegender Wahrscheinlichkeit er stellt sein (BGE 129 V 222 E. 4.3.1 S. 224; Urteil 8C_423/2007 vom 18. März 2008, E. 3.5 mit Hinweisen).</w:t>
      </w:r>
    </w:p>
    <w:p>
      <w:r>
        <w:rPr>
          <w:b/>
        </w:rPr>
        <w:t>E. 5.2</w:t>
      </w:r>
    </w:p>
    <w:p>
      <w:r>
        <w:t>Die Beschwerdegegnerin ging bei der Festsetzung des hypothetischen Validen - ein kommens davon aus, dass die Beschwerdeführerin ohne Gesund heitsschaden weiterhin als Zustellerin bei der Y.___ tätig sein würde. Sie setzte daher das Valideneinkommen gestützt auf die Angaben der Y.___ (vgl. Urk. 11/203) auf Fr. 59‘305. -- für das Jahr 2011 fest , was nunmehr unbestritten ist (Urk. 14 S. 2). Davon ist vorliegend auszugehen. 6. 6.1</w:t>
      </w:r>
    </w:p>
    <w:p>
      <w:r>
        <w:t>Für die Bestimmung des Invalideneinkommens ist primär von der beruflich-er werblichen Situation auszugehen, in welcher die versicherte Person konkret steht. Übt sie nach Eintritt der Invalidität keine oder jedenfalls keine ihr an sich zumutbare neue Erwerbstätigkeit aus, so können nach der Rechtsprechung ent weder Lohnangaben aus Tätigkeitsprofilen der Dokumentation über Arbeits plätze (DAP) oder Tabellenlöhne gemäss den vom Bundesamt für Statistik peri odisch herausgegebene n Lohnstrukturerhebungen (LSE) herangezogen werden (BGE 126 V 75 f. E. 3b/aa und bb, vgl. auch BGE 129 V 472 E. 4.2.1). Zieht man Tabellenlöhne heran, so wird für die Invaliditätsbemessung praxisgemäss auf die standardisierten Bruttolöhne (Tabellengruppe A) abgestellt (BGE 129 V 472 E. 4.2.1 mit Hinweis), wobei jeweils vom so genannten Zentralwert (Median) auszugehen ist. Bei der Anwendung der Tabellengruppe A gilt ausserdem zu berücksichtigen, dass ihr generell eine Arbeitszeit von 40 Wochenstunden zu grunde liegt, weshalb der massgebliche Tabellenlohn auf die entsprechenden betriebsübliche Wochenarbeitszeit aufzurechnen ist (BGE 129 V 472 E. 4.3.2, 126 V 75 f. E. 3b/bb, 124 V 321 E. 3b/aa; AHI 2000 S. 81 E. 2a).</w:t>
      </w:r>
    </w:p>
    <w:p>
      <w:r>
        <w:t>Legt man der Berechnung des Invalidene inkommens DAP-Profile zugrunde, haben diese rechtsprechungsgemäss bestimmte Voraussetzungen in quantitati ver und qualitativer Hinsicht zu erfüllen, um bei der Invaliditätsbemessung be rücksichtigt werden zu können . So stellt das Abstellen auf DAP-Löhne voraus, dass, zusätzlich zur Auflage von mindestens fünf DAP-Blättern, Angaben ge macht werden über die Gesamtzahl der auf Grund der gegebenen Beeinträchti gung in Frage kommenden dokumentierten Arbeitsplätze, über den Höchst- und den Tiefstlohn sowie über den Durchschnittslohn der entsprechenden Gruppe (BGE 129 V 478 ff. E. 4.2.2 ). 6.2</w:t>
      </w:r>
    </w:p>
    <w:p>
      <w:r>
        <w:t>Die Beschwerdegegnerin ermittelte vorliegend das Invalideneinkommen mittels Lohnangaben aus der DAP, wobei sie fünf DAP-Blätter auflegte und zusätzlich angab, dass insgesamt 29 der dokumentierten Arbeitsplätze aufgrund der Be hinderung der Beschwerdeführerin in Frage kämen. Sie führte sämtliche 29 Ar beitsplätze namentlich und unter Erwähnung des jeweiligen minimalen und maximalen Lohnes sowie des Durchschnittlohnes auf. Sodann hielt sie fest, dass sich der Minimallohn gesamthaft auf Fr. 42‘900.--, der Maximallohn auf Fr. 72‘090. -- und der Durchschnittslohn auf Fr. 56‘877 . -- belaufe (Urk. 11/229 Blatt 1 bis 3).</w:t>
      </w:r>
    </w:p>
    <w:p>
      <w:r>
        <w:t>Damit genügte sie grundsätzlich den formellen Anforderungen, welche rechtsprechungsgemäss an die Ermittlung des Invalideneinkommens mittels DAP-Löhne gestellt werden. 6.3 6.3.1</w:t>
      </w:r>
    </w:p>
    <w:p>
      <w:r>
        <w:t>Strittig und zu prüfen ist nun, ob die fünf DAP-Profile, auf die sich die Be - schwer degegnerin bei der Ermittlung des Invalideneinkommens stützte, der Behinderung der Beschwerdeführerin in genügender Weise Rechnung tragen. 6.3.2</w:t>
      </w:r>
    </w:p>
    <w:p>
      <w:r>
        <w:t>Bei der DAP Nr. 9980 (Urk. 11/229 Blatt 4 bis Blatt 7) handelt es sich um eine Tätigkeit in der Qualitätskontrolle von Schinkengipfel, die darin besteht, dass die Mitarbeiterin optisch kontrolliert, ob die Schinkengipfel richtig gerollt wor den sind, ansonsten sie d ie Schinkengipfel vom Förderband entfernt. Dabei handelt es sich um eine körperlich leichte Tätigkeit, bei der nur manchmal sehr leichte Gegenstände (Schinkengipfel) gehoben werden müssen, wobei Beidhän digkeit nicht erforderlich ist. Das leichte beziehungsweise feinmotorische Han tieren mit Gegenständen ist ebenfalls nur manchmal erforderlich. Damit ent spricht diese Tätigkeit dem Anf o r derungsprofil einer angepassten Arbeit (vgl. vorn E. 4.2 und E. 4.4) . Mit der Beschwerdegegnerin ist festzuhalten, dass die fehlerhaften Schinkengipfel sowohl mit der linken Hand als auch mit den un eingeschränkt einsetzbaren Daumen und Zeigefinger der rechten Hand entfernt werden könnten (vgl. Urk. 10 S. 4). Der pauschale Einwand der Beschwerde führerin, diese Arbeit erfordere leicht feinmotorische Tätigkeiten, welche ihr nicht zumutbar seien (Urk. 1 S. 4) , greift ins Leere, zumal – wie aufgezeigt – der Beschwerdeführerin durchaus gewisse feinmotorische Tätigkeiten zumutbar sind (vgl. vorn E. 4.4).</w:t>
      </w:r>
    </w:p>
    <w:p>
      <w:r>
        <w:t>6.3.3</w:t>
      </w:r>
    </w:p>
    <w:p>
      <w:r>
        <w:t>Das von der Beschwerdegegnerin herangezogene DAP-Profil Nr. 5485 (Urk. 11/229 Blatt 8 bis Blatt 11) betreffend eine Tätigkeit in der Qua - litätskontrolle blieb beschwerdeweise unbestritten. Dabei handelt es sich um eine mit dem DAP-Profil 9980 vergleichbare Tätigkeit (Sichtkontrolle von produzierten Schwämmen, Ausscheiden bei Defekt ), bei welcher das Heben und Tragen von sehr leichten Gegenständen ebenfalls nur manchmal und das Einsetzen beider Hände nicht gefordert wird und daher ebenfalls als der Behinderung der Be schwerdegegnerin angepasst gelten kann . 6.3.4</w:t>
      </w:r>
    </w:p>
    <w:p>
      <w:r>
        <w:t>Beim DAP-Profil Nr. 4509 (Urk. 11/229 Blatt 12 bis Blatt 15) handelt es sich um eine Tätigkeit als Bürogehilfin. Dabei sind auf Lieferscheine n Beträge zu addie ren, die Quersumme zu berechnen und mit Vorgaben zu vergleichen. Bei Feh lern sind Kopien der Lieferscheine zu erstellen und per Post oder Fax zurück zusenden, wobei praktisch nie telefonier t wird . Gemäss dieser Arbeitsplatzbe schreibung handelt es sich um einfache Büroarbeiten, die körperlich leicht und vorwiegend im Sitzen zu verrichten u nd gemäss der beruflichen Abklärung in der Rehaklinik E.___ der Beschwerdeführerin vollumfänglich zumutbar sind (vgl. vorn E. 3.11) . Der Einwand der Beschwerdeführerin, dass Bürotätigkeiten generell den Dauereinsatz beider Hände mit sämtlichen Fingern erforderten, was ihr nicht zumutbar sei (Urk. 1 S. 4 f.) , ist unbehelflich. Er widerspricht einerseits dem körperlichen Anforderungsprofil der DAP Nr. 4509, wonach Beidhändigkeit nicht notwendig ist (Urk. 11/229 Blatt 13) , andererseits auch der beruflichen Realität, wonach verschiedenste Büroarbeiten denkbar sind, die keinen Dauer einsatz beider Hände m it sämtlichen Fingern erfordern. So hat denn auch die berufliche Abklärung in der Rehaklinik E.___ aufgezeigt , d ass der Beschwer deführerin einfache Büroarbeiten ab Vorgabe sehr wohl zumutbar sind . Zudem ist aus den Akten e rsichtlich, dass die Beschwerdeführerin nunmehr offenbar an einem reinen Computer-Arbeitsplatz arbeite t , wobei sie Verträge kontrolliert und dabei sehr gute Arbeitsleistungen erbring t , weshalb ihr Arbeitspensum er höht w ur de .</w:t>
      </w:r>
    </w:p>
    <w:p>
      <w:r>
        <w:t>Beim DAP-Profil Nr. 4509 handelt es sich nach Gesagtem</w:t>
      </w:r>
    </w:p>
    <w:p>
      <w:r>
        <w:t>um eine der Beschwerdeführerin zumutbare Arbeit. 6.3.5</w:t>
      </w:r>
    </w:p>
    <w:p>
      <w:r>
        <w:t>Das Gleiche gilt auch betreffend den Arbeitsplatz Nr. 6905 (Urk. 11/229 Blatt 20 bis Blatt 23) . Hierbei handelt es sich um eine Tätigkeit als Telefonistin und um fasst den Kundenempfang, die Bedienung von Telefon und Fax, das Öffnen und Sortieren von Post (täglich etwa eine halbe Stunde) , die Pflanzenpflege, das Einräumen des Geschirrspülers (einmal täglich) und die Unterstützung des Per sonals in dive rsen kaufmännischen Arbeiten, mithin lauter einfache Büroarbei ten, die – entgegen der Ansicht der Beschwerdeführerin (Urk. 1 S. 5) - k eine Beidhändigkeit und kein grosses feinmotorisches Geschick erfordern. 6.3.6</w:t>
      </w:r>
    </w:p>
    <w:p>
      <w:r>
        <w:t>Beim DAP-Profil Nr. 361550 (Urk. 11/229 Blatt 16 bis Blatt 19) , bei welchem es sich um eine körperlich leichte Tätigkeit als Klinik-Archivar handelt, ist eine Beidhändigkeit bedingt notwendig. Die Tätigkeit umfasst das Archivieren von Krankengeschichten, das Verwalten und Herausgeben derselben und Ablagear beiten. Doch handelt es sich hierbei - entgegen der Ansicht der Beschwerde führerin (Urk. 1 S. 5) - nicht um Tätigkeiten, die besondere Anforderungen an ein beidhändiges feinmotorisches Arbeiten stellen . Die körperlich leichten, feinmotorisch nicht anspruchsvollen Arbeiten erscheinen vielmehr als der Be schwerdeführerin zumutbar, insbesondere angesichts des uneingeschränkten Einsatzes der linken Hand und des Daumen und Zeigefingers der rechten Hand. 6.4</w:t>
      </w:r>
    </w:p>
    <w:p>
      <w:r>
        <w:t>Aufgrund der ärztlichen Feststellungen zur Arbeitsfähigkeit können nach Gesag tem sämtliche von der Beschwerdegegnerin aufgeführte n Verweistätig keiten als zumutbar betrachtet werden , weshalb sich die Bemessung des Invali deneinkommens auf der Grundlage der DAP-Profile als rechtens erweist. Das Invalideneinkommen ist damit mit der Beschwerdegegnerin auf rund Fr. 59‘700.-- (dem Mittel der durchschnittlichen Löhne in der Höhe von Fr. 57‘183.75, Fr. 51‘350.--, Fr. 64‘350.--, Fr. 58‘448.50 und Fr. 67‘164.50; vgl. Urk. 11/229 Blatt 4 ff.) festzusetzen. Bei der Festsetzung des Invaliden - einkommens mittels DAP-Profilen ist ein Abzug rechtsprechungsgemäss nicht sachgerecht und daher nicht zulässig (BGE 129 V 481 f. E. 4.2.3) .</w:t>
      </w:r>
    </w:p>
    <w:p>
      <w:r>
        <w:t>Ausgehend von einem Valideneinkommen von Fr. 59‘305.-- und einem Inva - liden einkommen von Fr. 59‘700 . -- resultiert keine Erwerbseinbusse, wes halb kein Anspruch auf eine Rente besteht. Dies führt bezüglich des Rentenan spruches zur Abweisung der Beschwerde.</w:t>
      </w:r>
    </w:p>
    <w:p>
      <w:r>
        <w:t>7.</w:t>
      </w:r>
    </w:p>
    <w:p>
      <w:r>
        <w:rPr>
          <w:b/>
        </w:rPr>
        <w:t>E. 7</w:t>
      </w:r>
    </w:p>
    <w:p>
      <w:r>
        <w:t>5 % zu. Ein Anspruch auf eine Rente wurde verneint. Die von der Versicherten am 5. März 2012 erhobene Einsprache (Urk. 11/238 ) , ergänzt und modifiziert am 4. April 2012 (Urk. 11/241) , wies die SUVA</w:t>
      </w:r>
    </w:p>
    <w:p>
      <w:r>
        <w:t>mit Entscheid vom</w:t>
      </w:r>
    </w:p>
    <w:p>
      <w:r>
        <w:t>23 . April 2012 ab (Urk. 11/242 = Urk. 2). 2.</w:t>
      </w:r>
    </w:p>
    <w:p>
      <w:r>
        <w:t>Gegen den Einspracheents cheid vom 23 . April 2012 (Ur k. 2) erhob die Versi cherte am 23 . Mai 2012 Beschwerde mit dem Antrag, dieser sei aufzuheben, und es sei ihr eine Invalidenrente auf der Basis eines Invaliditätsgrades von min destens 10 % ab 1. November 2011 zuzusprechen. Ferner sei ihr eine Integri tätsentschädigung auf der Basis eines Grades von mindestens 10 % zuzuspre chen (Urk. 1 S. 2).</w:t>
      </w:r>
    </w:p>
    <w:p>
      <w:r>
        <w:t>Mit Beschwerdeantwort vom 12 . Juni 2012 (Urk. 10 ) schloss die SUVA auf Ab weisung der Beschwerde. Mit Verfügung vom 5. Juli 2012 wurde das Gesuch vom 23. Mai 2012 um unentgeltliche Rechtsvertretung bewilligt (Urk. 12). Mit Replik vom 15. November 2012 (Urk. 14) und Duplik vom 21. Dezember 2012 (Urk. 18) hielten die Parteien an ihren Anträgen fest. Der Beschwerdeführerin wurde hierauf die Duplik vom 21. Dezember 2012 am 7. Januar 2012 zur K enntnisnahme zuge stellt (Urk. 1 9). Das Gericht zieht in Erwägung: 1.</w:t>
      </w:r>
    </w:p>
    <w:p>
      <w:r>
        <w:rPr>
          <w:b/>
        </w:rPr>
        <w:t>E. 7.1</w:t>
      </w:r>
    </w:p>
    <w:p>
      <w:r>
        <w:t>Zu prüfen bleibt, wie es sich mit der Integritätsentschädigung verhält. Die Be schwerdegegnerin stützte sich in der Verfügung vom 2. Februar 2012 (Urk. 11/236) und im angefochtenen Einspracheentscheid vom 23. April 2012 (Urk. 2) auf die Beurteilung durch SUVA-Kreisarzt Dr. B.___ vom 29. April 2011 (Urk. 11/139) , wonach gesamthaft eine Integritätseinbusse von</w:t>
      </w:r>
    </w:p>
    <w:p>
      <w:r>
        <w:rPr>
          <w:b/>
        </w:rPr>
        <w:t>E. 7.2.1</w:t>
      </w:r>
    </w:p>
    <w:p>
      <w:r>
        <w:t>Nach Art. 24 Abs. 1 UVG hat die versicherte Person Anspruch auf eine ange messene Integritätsentschädigung, wenn sie durch den Unfall eine dauernde er hebliche Schädigung</w:t>
      </w:r>
    </w:p>
    <w:p>
      <w:r>
        <w:t>der körperlichen oder geistigen Integrität erleidet. Die In te gritätsentschädigung wird in Form einer Kapitalleistung gewährt. Sie darf den am Unfalltag geltenden Höchstbetrag des versicherten Jahresverdienstes nicht übersteigen</w:t>
      </w:r>
    </w:p>
    <w:p>
      <w:r>
        <w:t>und wird entsprechend der Schwere des Integritätsschadens abge stuft (Art. 25 Abs. 1 UVG).</w:t>
      </w:r>
    </w:p>
    <w:p>
      <w:r>
        <w:t>Gemäss Art. 25 Abs. 2 UVG regelt der Bundesrat die Bemessung der Entschä digung. Von dieser Befugnis hat er in Art. 36 der Verordnung über die Unfall versicherung (UVV) Gebrauch gemacht. Abs. 1 dieser Vorschrift bestimmt, dass ein Integritätsschaden als dauernd gilt, wenn er voraussichtlich während des ganzen Lebens minde stens</w:t>
      </w:r>
    </w:p>
    <w:p>
      <w:r>
        <w:t>in gleichem Umfang besteht. Er ist erheblich, wenn die körperliche oder geistige Integrität, unabhängig von der Erwerbs fähigkeit, augenfällig</w:t>
      </w:r>
    </w:p>
    <w:p>
      <w:r>
        <w:t>oder stark beeinträchtigt wird. Gemäss Abs. 2 gelten für die Be messung der Integri tätsentschädigung die Richtlinien des Anhanges 3. Fallen mehrere körperliche oder geistige Integritätsschäden aus einem oder mehreren Unfällen zusammen, so wird die Integri tätsentschädigung nach der gesamten Beeinträchtigung fest gesetzt (Abs. 3).</w:t>
      </w:r>
    </w:p>
    <w:p>
      <w:r>
        <w:rPr>
          <w:b/>
        </w:rPr>
        <w:t>E. 7.2.2</w:t>
      </w:r>
    </w:p>
    <w:p>
      <w:r>
        <w:t>Die Bemessung der Integritätsentschädigung richtet sich laut Art. 25 Abs. 1 UVG nach der Schwere des Integri tätsschadens. Diese beurteilt sich nach dem medizinischen Be fund. Bei gleichem medizinischem Befund ist</w:t>
      </w:r>
    </w:p>
    <w:p>
      <w:r>
        <w:t>der Integri täts schaden für alle Versicherten gleich; er wird abstrakt und egalitär bemessen. Die Integritätsentschädigung der Unfallversicherung unterscheidet sich daher von der privat rechtlichen Genugtuung, mit welcher der immaterielle Nach teil indivi duell unter Würdigung der besonderen Umstände bemessen wird. Es lassen sich im Gegensatz zur Bemessung der Genugtuungssumme im Zivilrecht (vgl. BGE 112 II 133 E. 2) ähnliche Unfallfolgen miteinander vergleichen und auf medizi nischer Grundlage allgemein gültige Regeln zur Bemessung des Integritätsscha dens aufstellen; spezielle Behinderungen der Betroffenen durch den Integritäts schaden bleiben dabei unberücksichtigt. Die Bemessung des Integri tätsschadens hängt somit nicht von den besonderen Umständen des Einzelfalles ab; auch geht es bei ihr nicht um die Schätzung erlittener Unbill, sondern um die medi zinisch-theoretische</w:t>
      </w:r>
    </w:p>
    <w:p>
      <w:r>
        <w:t>Ermittlung der Beeinträchtigung der körper lichen oder geistigen Integrität, wobei subjektive Faktoren ausser Acht zu lassen sind (BGE 115 V 147 E. 1, 113 V 221 E. 4b mit Hinweisen; RKUV 2001 Nr. U 445 S. 555 ff.). 7 . 2.3</w:t>
      </w:r>
    </w:p>
    <w:p>
      <w:r>
        <w:t>Im Anhang 3 zur UVV hat der Bundesrat Richtlinien für die Bemessung der Inte gritätsschäden aufgestellt und in einer als gesetzmässig erkannten, nicht abschliessenden Skala (BGE 124 V 32 E. 1b mit Hinweisen) wichtige und typi sche Schäden prozentual gewichtet (RKUV 2004 Nr. U 514 S. 416). Für die darin genannten Integritätsschäden entspricht die Entschädigung im Regelfall dem angegebenen Prozentsatz</w:t>
      </w:r>
    </w:p>
    <w:p>
      <w:r>
        <w:t>des Höchstbetrages des versicherten Verdienstes (Ziff. 1 Abs. 1). Die Entschädigung für spezielle oder nicht aufgeführte In tegri tätsschäden wird nach dem Grad der Schwere vom Skalenwert abgeleitet (Ziff. 1 Abs. 2). Integritätsschäden, die gemäss der Skala 5 Prozent nicht er reichen, ge ben keinen Anspruch auf Entschädigung (Ziff. 1 Abs. 3). Die völlige Gebrauchs unfähigkeit eines Organs wird dem Verlust gleichgestellt; bei teil weisem Verlust und teilweiser Gebrauchsunfähigkeit wird der Integritäts schaden entsprechend</w:t>
      </w:r>
    </w:p>
    <w:p>
      <w:r>
        <w:t>geringer, wobei die Entschädigung jedoch ganz entfällt, wenn der Integritäts schaden weniger als 5 Prozent des Höchstbetrages des versicherten Verdienstes ergäbe ( Ziff. 2).</w:t>
      </w:r>
    </w:p>
    <w:p>
      <w:r>
        <w:t>7 . 2.4</w:t>
      </w:r>
    </w:p>
    <w:p>
      <w:r>
        <w:t>Die Medizinische Abteilung der Schweizerischen Unfallversicherungsanstalt (SUVA) hat in Weiterentwicklung der bundesrätlichen Skala weitere Be mes sungs 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 tätsschadens für den «Regelfall» gilt, welcher im Einzelfall Abweichungen nach unten wie nach oben ermöglicht. Soweit sie jedoch lediglich Richtwerte enthal ten, mit denen die Gleichbehandlung aller Versicherten gewährleistet werden soll, sind sie mit dem Anhang 3 zur UVV vereinbar (BGE 124 V 32 E. 1c, 116 V 157 E. 3a).</w:t>
      </w:r>
    </w:p>
    <w:p>
      <w:r>
        <w:rPr>
          <w:b/>
        </w:rPr>
        <w:t>E. 7.2.5</w:t>
      </w:r>
    </w:p>
    <w:p>
      <w:r>
        <w:t>Fallen mehrere körperliche oder geistige Integritätsschäden aus einem oder meh reren Unfällen zusammen, so wird die Integritätsentschädigung nach der gesamten Beeinträch tigung festgesetzt (Art. 36 Abs. 3 Satz 1 UVV). Dabei wer den die einzelnen Prozentzahlen zusammengezählt, selbst wenn keine Schädi gung den Grenzwert von 5 Prozent erreicht. Die Entschädigung ist ge schuldet, sobald die Summe der addierten Prozentzahlen den Wert von 5 Pro zent oder mehr ergibt (RKUV 1989 Nr. U 78 S. 361). Die Bestimmung regelt grundsätzlich nur das Zusammentreffen von Integritätsschäden, die nach dem UVG als solche versichert sind (BGE 113 V 58).</w:t>
      </w:r>
    </w:p>
    <w:p>
      <w:r>
        <w:rPr>
          <w:b/>
        </w:rPr>
        <w:t>E. 7.3</w:t>
      </w:r>
    </w:p>
    <w:p>
      <w:r>
        <w:t>Aufgrund der medizinischen Berichte steht fest, dass die Beschwerdeführerin als Folge des Unfalles vom 1 1. Mai 2009 an einem CRPS an der rechten Hand mit Funktionseinschränkungen des Mittel-, Ring- und des kleinen Fingers leidet, wobei die Kraft im Bereich der rechten Hand im Vergleich zur linken Hand vermindert und der Faustschluss rechts inkomplett ist.</w:t>
      </w:r>
    </w:p>
    <w:p>
      <w:r>
        <w:rPr>
          <w:b/>
        </w:rPr>
        <w:t>E. 7.4</w:t>
      </w:r>
    </w:p>
    <w:p>
      <w:r>
        <w:t>Kreisarzt Dr. B.___ hielt aufgrund seiner Untersuchung vom 2 9. April 2011 betreffend die Beurteilung des Integritätsschadens fest, es bestehe als Folge des Unfalles eine Teilsteife der drei ulnaren Finger an der rechten Hand. Der Zustand sei definitiv. Es bestünden zwar keine anatomischen Verluste, in funktioneller Hinsicht komme es wegen der Gelenksteifen jedoch zu vergleich baren Auswirkungen. Es bestehe ein Mischbild zwischen den Figuren 35 und 36 wie 40 und 41 der Tabelle 3 der Publikation „Integritätsentschädigung gemäss UVG“, am ehesten sei eine Endgliedamputation an den drei ulnaren Strahlen zum Vergleich heranzuziehen, dies ergäbe eine Integritätseinbusse von 7.5 % . Dies entspreche auch dem Wert der zitierten Positionen. Auch mit diesem Quer vergleich erweise sich die Einschätzung mit 7.5 % als korrekt (Urk. 11/139).</w:t>
      </w:r>
    </w:p>
    <w:p>
      <w:r>
        <w:rPr>
          <w:b/>
        </w:rPr>
        <w:t>E. 7.5</w:t>
      </w:r>
    </w:p>
    <w:p>
      <w:r>
        <w:t>Dieser Beurteilung des Integritätsschadens stimmte Kreisärztin Dr. A.___ im Anschluss an ihre Untersuchung vom 2 6. Oktober 2011 zu (Urk. 11/214).</w:t>
      </w:r>
    </w:p>
    <w:p>
      <w:r>
        <w:t>Sie erweist sich denn auch als nachvollziehbar begründet und ist nicht zu bean standen. Die Beschwerdeführerin beklagt weder den Verlust der rechte n Hand als solche noch der drei be troffenen Mittel-, Ring- und des kleine n Finger s noch sind sie gänzlich gebrauchsunfähig, was einem Verlust gleichgestellt wäre. So ist es – entgegen der Ansicht der Beschwerdeführerin (Urk. 1 S. 5 f.) – denn auch folgerichtig, dass Dr. H.___ von keinen anatomischen Verlusten spricht. Indes hält er fest, dass es in funktioneller Hin s icht wegen der Gelenksteifen zu v ergleichbaren Auswirkungen kommt . Die betroffenen Finger der rechten Hand sind in ihrer Bewegung eingeschränkt, wobei die jeweiligen durch Dr. H.___ und Dr. A.___ erhobenen Messresultate praktisch übereinstimmen (vgl. Urk. 11/140 und Urk. 11/216). Die wichtigsten Finger der rechten Hand, der Daumen und der Zeigefinger, sind hingegen frei beweglich. Sodann i st die Kraft im Be reich der rechten Hand gegenüber der gesunden linken Hand vermindert. Dr . H.___ hat unter B ezugnahme auf die SUVA-Tabelle 3 (Integritätsschaden bei einfachen oder kombinierten Finger-, Hand- und Armverlusten), Abbildun gen 35 und 36 beziehungsweise 40 und 41, die Integritätseinbusse auf 7.5 % eingeschätzt, was auch dem Wert gemäss der Abbildung 39 entspricht und an gesichts der vorhandenen Funktionseinschränkungen plausibel und nachvoll ziehbar erscheint .</w:t>
      </w:r>
    </w:p>
    <w:p>
      <w:r>
        <w:rPr>
          <w:b/>
        </w:rPr>
        <w:t>E. 7.6</w:t>
      </w:r>
    </w:p>
    <w:p>
      <w:r>
        <w:t>Daran ändert auch der Bericht von Dr. F.___ nichts. Dieser hielt unter dem Titel „Bemessung des Invaliditätsgrades“ eine Funktionseinschränkung des Mit telfingers von 10 % , des Ringfingers von 50 % und des kleinen Fingers von 60 % sowie der gesamten Hand von etwa 25 % fest, nahm aber weder eine ei gentliche Beurteilung des Integritätsschadens vor , noch nahm er z u r Beurteilung</w:t>
      </w:r>
    </w:p>
    <w:p>
      <w:r>
        <w:t>des Integritätsschadens durch die SUVA-Kreisärzte S tellung.</w:t>
      </w:r>
    </w:p>
    <w:p>
      <w:r>
        <w:rPr>
          <w:b/>
        </w:rPr>
        <w:t>E. 7.7</w:t>
      </w:r>
    </w:p>
    <w:p>
      <w:r>
        <w:t>Nach Gesagtem ist mit der Beschwerdegegnerin von einer Integritätseinbusse von 7.5 % auszugehen, weshalb die dagegen erhobene Beschwerde abzuweisen ist. 8.</w:t>
      </w:r>
    </w:p>
    <w:p>
      <w:r>
        <w:t>Zusammenfassend ist die am 2. Februar 2012 verfügte, mit Entscheid vom 2 3. April 2012 bestätigte Verneinung eines Rentenanspruches sowie die Zuspra che einer Integritätsentschädigung aufgrund einer Integritätseinbusse von 7.5 % nicht zu beanstanden. Dies führt zur gesamthaften Abweisung der Beschwerde. 9.</w:t>
      </w:r>
    </w:p>
    <w:p>
      <w:r>
        <w:t>Mit Kostennote vom 1 8. September 2013 machte die unentgeltliche Rechts - vertre terin der Beschwerdeführerin einen Aufwand von 13.08 Stunden und Fr. 60.-- Barauslagen geltend ( Urk. 21 ). Unter Berücksichtigung der Be deutung der Streitsache und der Schwierigkeit des Prozesses ( § 34 Abs. 3 des Gesetzes über das Sozialversicherungsgericht, GSVGer) sowie beim massgebli chen Stundenansatz von Fr. 200. -- (zuzüglich Mehrwertsteuer ) ist Rechtsanwäl tin Christina Ammann, Uster, mit Fr. 2‘890.-- inklusive Barauslagen und Mehr wertsteuer aus der Gerichtskasse zu entschädigen. Die Beschwerdeführerin ist auf §</w:t>
      </w:r>
    </w:p>
    <w:p>
      <w:r>
        <w:rPr>
          <w:b/>
        </w:rPr>
        <w:t>E. 8</w:t>
      </w:r>
    </w:p>
    <w:p>
      <w:r>
        <w:t>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vgl. BGE 130 V 121) .</w:t>
      </w:r>
    </w:p>
    <w:p>
      <w:r>
        <w:rPr>
          <w:b/>
        </w:rPr>
        <w:t>E. 11</w:t>
      </w:r>
    </w:p>
    <w:p>
      <w:r>
        <w:t>Mai 2009 in ihrer Arbeitsfähigkeit bezogen auf ihre Tätigkeit als Zustellerin bei der Y.___ eingeschränkt. Die Beschwerdegegnerin stellte zur Be urteilung der Arbeitsfähigkeit in einer angepassten Tätigkeit vorwiegend auf die Beurteilung durch die Kreisärztin Dr. A.___ (vgl . vorstehend E. 3.13 ) ab. 4.2</w:t>
      </w:r>
    </w:p>
    <w:p>
      <w:r>
        <w:t>Die Würdigung der medizinischen Akten ergibt, dass die Beurteilung der Kreis - ärz tin Dr. A.___ vom 26. Oktober 2011 für die Beantwortung der hier strittigen Frage des noch zumutbaren Arbeitsprofils und des Umfangs der dies bezüglichen Restarbeitsfähigkeit umfassend und nachvollziehbar ist und die ge klagten Beschwerden sowie sämtliche Befunde in angem e ssener Weise berück sichtigt. Auch stimmt sie im Wesentlichen mit der Beurteilung durch Dr. F.___</w:t>
      </w:r>
    </w:p>
    <w:p>
      <w:r>
        <w:t>und des Kreisarztes Dr. B.___</w:t>
      </w:r>
    </w:p>
    <w:p>
      <w:r>
        <w:t>überein. So ist unbestrittenermassen von ei ner Einschränkung der Beweglichkeit des Mittel-, Ring- und des kleinen Fingers der rechten Hand auszugehen (vgl. Urk. 11/216-215, Urk. 11/240, Urk. 11/140) , wobei die Einschränkung des kleinen Fingers am grössten ist. Demgegenüber sind die beiden wichtigsten Finger der rechten Hand, der Daumen und der Zei gefinger, uneingeschränkt beweglich. Der Beschwerdeführerin ist es sodann unmöglich, die rechte Hand vollständig zu einer Faust zu schliessen. Des Wei teren ist von einer verminderten Kraft der rechten Hand auszugehen. Die Kraft messung mittels Handdynamometer ergab anlässlich der Untersuchung durch Dr . A.___</w:t>
      </w:r>
    </w:p>
    <w:p>
      <w:r>
        <w:t>rechts ein Ergebnis von 8 kp (Urk. 11/216) . Anlässlich der Untersu chung durch Dr. B.___ vom 29. April 2011 waren dies noch 12 bis 14 kp (Urk. 11/140), woraus dieser schloss, der Beschwerdeführerin sei es noch zu mutbar, Gewichte bis 8 Kilogramm zu heben (vgl. auch Urk. 11/ 171) . Dies be stritt die Beschwerdeführerin mit Schreiben vom 20. Juni 2011 (Urk. 11/169). Die spätere Untersuchung durch Dr. A.___ hat nun gegenüber derjenigen durch Dr. B.___ eine geringere Kraft einwirkung e rgeben, weshalb Dr. A.___</w:t>
      </w:r>
    </w:p>
    <w:p>
      <w:r>
        <w:t>folgerichtig auf eine maximale Gewichtsbelastung von fünf Kilo gramm schlos s (Urk. 11/215). Daran ändert auch die Beurteilung durch Dr. F.___ nichts, der von einer Maximalbelastung von zwei Kilogramm sprach, da die Beschwerdeführerin bei schwerer Belastung starke Schmerzen verspüre. Ansonsten berichtete er von einer Kraftmessung von acht Kilogramm rechts. Dass die Kraft der rechten Hand im Vergleich z ur gesunden Gegenseite vermin dert ist, ist nach Gesagtem erwiesen. So sind der Beschwerdeführerin als Rechtshänderin jegliche schwere Belastungen nicht mehr zumutbar. Nicht zu mutbar sind auch kraftvolle Zug-, Stoss- und Drehbewegungen sowie repetitive Arbeitsvorgänge, Vibrationen und Schläge mit der rechten Hand (Urk. 11/215, vgl. auch Urk. 11/140) . Eine diese Einschränkungen berücksichtigende manuell leichte Tätigkeit ist der Beschwerdeführerin indes vollumfänglich zumutbar. 4.3</w:t>
      </w:r>
    </w:p>
    <w:p>
      <w:r>
        <w:t>Auf die abweichende Beurteilung der Arbeitsfähigkeit durch die Hausärztin Dr . C.___ , welche die Arbeitsfähigkeit in einer angepassten Tätigkeit auf 50 % einschätzte, kann demgegenüber nicht abgestellt werden. So nannte sie in ihren Attesten einzig die Diagnose und legte weder die erhobenen Befunde dar, noch nahm sie eine nachvollziehbar begründete und durch Befunde untermau erte medizinisch-theoretische Beurteilung der Arbeitsfähigkeit vor. Sodann han delt es sich bei Dr. C.___</w:t>
      </w:r>
    </w:p>
    <w:p>
      <w:r>
        <w:t>um keine Fachärztin. Abgesehen davon rechtfertigt nicht zuletzt ihre auftragsrechtliche Vertrauensstellung eine gewisse Zurück haltung bei der Würdigung ihrer Beurteilung (vgl. vorn E.</w:t>
      </w:r>
    </w:p>
    <w:p>
      <w:r>
        <w:rPr>
          <w:b/>
        </w:rPr>
        <w:t>E. 16</w:t>
      </w:r>
    </w:p>
    <w:p>
      <w:r>
        <w:t>Abs. 4 GSVGer hin gewiesen . 4.</w:t>
      </w:r>
    </w:p>
    <w:p>
      <w:r>
        <w:t>Zustellung gegen Empfangsschein an: - Rechtsanwä lt in Christina Ammann - Schweizerische Unfallversicherungsanstalt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MosimannTiefenbacher KI/TS/BSversandt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