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UV.2011.00201 vom 20. Juli 2012</w:t>
      </w:r>
    </w:p>
    <w:p>
      <w:r>
        <w:t>ZH Sozialversicherungsgericht, 2012-07-20, DE</w:t>
      </w:r>
    </w:p>
    <w:p>
      <w:r>
        <w:rPr>
          <w:b/>
        </w:rPr>
        <w:t xml:space="preserve">Quelle: </w:t>
      </w:r>
      <w:r>
        <w:t>https://mcp.opencaselaw.ch/entscheid/zh_sozialversicherungsgericht_UV.2011.00201</w:t>
      </w:r>
    </w:p>
    <w:p>
      <w:r>
        <w:t>FR: ZH_SOZIALVERSICHERUNGSGERICHT UV.2011.00201 du 20 juillet 2012</w:t>
      </w:r>
    </w:p>
    <w:p>
      <w:r>
        <w:t>IT: ZH_SOZIALVERSICHERUNGSGERICHT UV.2011.00201 del 20 luglio 2012</w:t>
      </w:r>
    </w:p>
    <w:p>
      <w:pPr>
        <w:pStyle w:val="Heading2"/>
      </w:pPr>
      <w:r>
        <w:t>Erwägungen</w:t>
      </w:r>
    </w:p>
    <w:p>
      <w:r>
        <w:rPr>
          <w:b/>
        </w:rPr>
        <w:t>E. 4</w:t>
      </w:r>
    </w:p>
    <w:p>
      <w:r>
        <w:t>4.1Â Â Â Â  Der BeschwerdefÃ¼hrer machte geltend, die vorbehaltlose Ausrichtung der Taggelder durch die Beschwerdegegnerin habe ihn in seinem guten Glauben hinsichtlich des Leistungsempfangs bestÃ¤rkt (Urk. 1 S. 7 unten). Dazu wurde bereits mit Urteil vom 10. Dezember 2010 (Prozess-Nr. UV.2009.00374, Urk. 6/148) festgehalten, dass der BeschwerdefÃ¼hrer fÃ¼r 371 Tage Versicherungsleistungen von insgesamt Fr. 131'844.05 bezogen hat, was einem Einkommen von 163 % seines Ã¼blichen Jahreslohns von Fr. 79'740.-- entsprach und er daher mit der nÃ¶tigen Aufmerksamkeit ohne weiteres merken musste, dass der Leistungsbezug nicht rechtmÃ¤ssig erfolgte (S. 3 f. E. 3.3).</w:t>
      </w:r>
    </w:p>
    <w:p>
      <w:r>
        <w:t>4.2Â Â Â Â  Daran Ã¤ndert die Tatsache, dass der BeschwerdefÃ¼hrer die Leistungen, welche zu einer ÃberentschÃ¤digung gefÃ¼hrt haben, zu unterschiedlichen Zeitpunkten sowie von verschiedenen Institutionen erhalten hat (Urk. 1 S. 7), nichts. SpÃ¤testens als die Invalidenversicherung dem BeschwerdefÃ¼hrer mit VerfÃ¼gung vom 9. Juni 2005 einen hÃ¶heren Rentenanspruch zusprach, hÃ¤tte er bei gebotener Aufmerksamkeit zumindest Zweifel am Umfang der ausgerichteten Leistungen haben mÃ¼ssen. Diese Zweifel hÃ¤tten ihn mindestens zur Kontaktaufnahme mit der Beschwerdegegnerin oder einem seiner Rechtsvertreter - der BeschwerdefÃ¼hrer war im Unfallverfahren von Rechtsanwalt Roland Schaub (vgl. Urk. 6/15) und im IV-Verfahren von einem anderen Rechtsvertreter betreut (Urk. 1 S. 7 oben) - veranlassen mÃ¼ssen.</w:t>
      </w:r>
    </w:p>
    <w:p>
      <w:r>
        <w:t>4.3Â Â Â Â  Nach dem Gesagten kann sich der BeschwerdefÃ¼hrer nicht auf seinen guten Glauben berufen. Es kann daher offen bleiben, ob eine grosse HÃ¤rte vorliegt.</w:t>
      </w:r>
    </w:p>
    <w:p>
      <w:r>
        <w:t>Â Â Â Â Â Â Â Â  Â Die Beschwerde ist daher in BestÃ¤tigung des strittigen Einspracheentscheids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Roland Schaub</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