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UV.2010.00355 vom 25. Februar 2011</w:t>
      </w:r>
    </w:p>
    <w:p>
      <w:r>
        <w:t>ZH Sozialversicherungsgericht, 2011-02-25, DE</w:t>
      </w:r>
    </w:p>
    <w:p>
      <w:r>
        <w:rPr>
          <w:b/>
        </w:rPr>
        <w:t xml:space="preserve">Quelle: </w:t>
      </w:r>
      <w:r>
        <w:t>https://mcp.opencaselaw.ch/entscheid/zh_sozialversicherungsgericht_UV.2010.00355</w:t>
      </w:r>
    </w:p>
    <w:p>
      <w:r>
        <w:t>FR: ZH_SOZIALVERSICHERUNGSGERICHT UV.2010.00355 du 25 février 2011</w:t>
      </w:r>
    </w:p>
    <w:p>
      <w:r>
        <w:t>IT: ZH_SOZIALVERSICHERUNGSGERICHT UV.2010.00355 del 25 febbraio 2011</w:t>
      </w:r>
    </w:p>
    <w:p>
      <w:pPr>
        <w:pStyle w:val="Heading2"/>
      </w:pPr>
      <w:r>
        <w:t>Erwägungen</w:t>
      </w:r>
    </w:p>
    <w:p>
      <w:r>
        <w:rPr>
          <w:b/>
        </w:rPr>
        <w:t>E. 2</w:t>
      </w:r>
    </w:p>
    <w:p>
      <w:r>
        <w:t>2.1Â Â Â Â  Bei einer negativen VerfÃ¼gung wie die der vorliegenden Streitsache zugrunde liegende EinstellungsverfÃ¼gung vom 19. Januar 2007, die der aufschiebenden Wirkung nicht zugÃ¤nglich ist und bei der nur vorsorgliche Massnahmen im Sinne von Art. 56 des Verwaltungsverfahrensgesetzes (VwVG) in Frage kommen, beurteilt sich die Frage, ob der Suspensiveffekt zu erteilen ist, rechtsprechungsgemÃ¤ss aufgrund einer InteressenabwÃ¤gung. Es ist zu prÃ¼fen, ob die GrÃ¼nde, welche fÃ¼r die sofortige Vollstreckbarkeit der VerfÃ¼gung sprechen, gewichtiger sind als jene, die fÃ¼r die gegenteilige LÃ¶sung angefÃ¼hrt werden kÃ¶nnen (vgl. Urteil des EidgenÃ¶ssischen Versicherungsgerichts in Sachen S. vom 8. August 2005, I 426/05, Erw. 2.2).</w:t>
      </w:r>
    </w:p>
    <w:p>
      <w:r>
        <w:t>2.2Â Â Â Â  Wie bereits im Urteil vom 2. Mai 2007 (Prozess Nr. UV.2007.00155) festgehalten, hÃ¤tte die Erteilung der aufschiebenden Wirkung zur Folge, dass der BeschwerdefÃ¼hrer bis zum Abschluss des nach dem RÃ¼ckweisungsentscheid vom 25. Juni 2010 immer noch hÃ¤ngigen Verfahrens in der Hauptsache weiterhin Anspruch auf Heilbehandlungsleistungen hÃ¤tte und damit unter UmstÃ¤nden in den Genuss von zu Unrecht ausgerichteten Leistungen kÃ¤me, welche er gegebenenfalls zurÃ¼ckzuerstatten hÃ¤tte.</w:t>
      </w:r>
    </w:p>
    <w:p>
      <w:r>
        <w:t>Â Â Â Â Â Â Â Â  Im Urteil vom 2. Mai 2007 war dem Argument des BeschwerdefÃ¼hrers, aufgrund seiner VermÃ¶gens- und Einkommenssituation wÃ¤re ihm eine allfÃ¤llige RÃ¼ckerstattung der doch eher geringfÃ¼gigen, sich pro Jahr auf Fr. 500.-- bis Fr. 600.-- belaufenden Kosten der Heilbehandlung problemlos mÃ¶glich, entgegengehalten worden, dass dies hÃ¶chstens gegen die Gefahr der Uneinbringlichkeit spreche, jedoch nichts daran Ã¤ndere, dass die Geltendmachung und Vollstreckung einer allfÃ¤lligen RÃ¼ckforderung fÃ¼r die Beschwerdegegnerin mit einem zusÃ¤tzlichen administrativen Aufwand und allenfalls auch Inkassoaufwand verbunden sei, zumal die Heilungskosten 2005 und 2006 nach der Sachdarstellung der Beschwerdegegnerin immerhin mehr als Fr. 3'000.-- pro Jahr betragen hÃ¤tten. Der BeschwerdefÃ¼hrer mache hingegen ein Interesse an der weiteren Ausrichtung der Heilbehandlungsleistungen nicht geltend, und ein solches sei angesichts der Vorleistungspflicht der Krankenkasse aufgrund von Art. 70 Abs. 2 lit. a in Verbindung mit Art. 14 ATSG auch nicht ersichtlich. Es bestÃ¼nden denn auch keine Anhaltspunkte dafÃ¼r, dass er durch die auf ihn entfallende Kostenbeteiligung in eine finanzielle Notlage geraten wÃ¼rde, wobei selbst dies angesichts der Ungewissheit Ã¼ber die Aussichten auf den Ausgang des Verfahrens in der Hauptsache nicht von ausschlaggebender Bedeutung sein kÃ¶nnte.</w:t>
      </w:r>
    </w:p>
    <w:p>
      <w:r>
        <w:t>Â Â Â Â Â Â Â Â  Weder aus der an die SUVA gerichteten Eingabe des BeschwerdefÃ¼hrers vom 1. November 2010 (Urk. 3) noch aus denjenigen im vorliegenden Beschwerdeverfahren (Urk. 1, 4) geht hervor, dass sich an der im Urteil vom 2. Mai 2007 dargelegten Interessenlage inzwischen etwas verÃ¤ndert hÃ¤tte. Insbesondere tut der BeschwerdefÃ¼hrer in keiner Weise dar, inwiefern er Ã¼berhaupt ein Interesse an der Wiederherstellung der aufschiebenden Wirkung der gegen die VerfÃ¼gung vom 19. Januar 2007 gerichteten Rechtsmittel hat. Angesichts seiner gegenÃ¼ber der SUVA geÃ¤usserten Bereitschaft, zur Sicherstellung einer allfÃ¤lligen RÃ¼ckforderung im Falle der Wiederherstellung der aufschiebenden Wirkung eine Kaution bis maximal Fr. 100'000.- zu leisten, und des Hinweises auf seine BonitÃ¤t (Urk. 3), kann im vorliegenden Verfahren nun jedenfalls mit Sicherheit ausgeschlossen werden, dass er durch die Bezahlung von Behandlungskosten, die sich gemÃ¤ss seinen Angaben lediglich auf einige Hundert Franken pro Jahr belaufen, oder durch die Leistung von Kostenbeteiligungen an die Krankenkasse in eine finanzielle Notlage geraten wÃ¼rde. Zu den Vorbringen des BeschwerdefÃ¼hrers zur Interessenlage und VermÃ¶genssituation der Beschwerdegegnerin ist erneut darauf hinzuweisen, dass die Vermeidung von RÃ¼ckerstattungsforderungen rechtsprechungsgemÃ¤ss nicht nur angesichts der Gefahr der Nichteinbringlichkeit solcher Forderungen, sondern auch angesichts der damit verbundenen administrativen Erschwernisse angebracht ist (vgl. BGE 105 V 266 S. 270).</w:t>
      </w:r>
    </w:p>
    <w:p>
      <w:r>
        <w:t>2.3Â Â Â Â  Nach wie vor sind somit keine GrÃ¼nde ersichtlich, die fÃ¼r die vorlÃ¤ufige Weiterausrichtung der mit der VerfÃ¼gung vom 19. Januar 2007 eingestellten Leistungen sprechen. Umso schwerer wiegt das Interesse der Beschwerdegegnerin daran, keine allenfalls unrechtmÃ¤ssige und damit der RÃ¼ckforderung unterliegende Leistungen auszurichten. Die Beschwerde vom 23. November 2010 ist demnach abzuweisen, zumal sich die BegrÃ¼ndung des angefochtenen Entscheids auch nicht als unzureichend erweist. Von der subeventualiter beantragten RÃ¼ckweisung zwecks ausfÃ¼hrlicherer BegrÃ¼ndung wÃ¤re im Ãbrigen selbst dann abzusehen, wenn die SUVA mit der eher knappen BegrÃ¼ndung den GehÃ¶rsanspruch des BeschwerdefÃ¼hrers verletzt hÃ¤tte. Nicht nur wÃ¼rde eine RÃ¼ckweisung zu einem formalistischen Leerlauf und unnÃ¶tigen VerzÃ¶gerungen fÃ¼hren, sondern die - jedenfalls nicht besonders schwerwiegende - GehÃ¶rsverletzung hÃ¤tte ohnehin als durch die mit der Beschwerde verbundene ÃusserungsmÃ¶glichkeit vor einer den Sachverhalt und die Rechtslage frei Ã¼berprÃ¼fenden Beschwerdeinstanz geheilt zu gelten (vgl. BGE 127 V 431 S. 437 Erw. 3d/aa, 132 V 387 S. 390 Erw. 5.1 mit Hinweis).</w:t>
      </w:r>
    </w:p>
    <w:p>
      <w:r>
        <w:t>3.Â Â Â Â Â Â  GemÃ¤ss Art. 61 lit. a ATSG ist das Verfahren kostenlos.</w:t>
      </w:r>
    </w:p>
    <w:p>
      <w:r>
        <w:t>Â Â Â Â Â Â Â Â</w:t>
      </w:r>
    </w:p>
    <w:p>
      <w:r>
        <w:t>Das Gericht erkennt:</w:t>
      </w:r>
    </w:p>
    <w:p>
      <w:r>
        <w:t>1.Â Â Â Â Â Â Â Â  Die Beschwerde wird, soweit darauf eingetreten wird, abgewiesen.</w:t>
      </w:r>
    </w:p>
    <w:p>
      <w:r>
        <w:t>2.Â Â Â Â Â Â Â Â  Das Verfahren ist kostenlos.</w:t>
      </w:r>
    </w:p>
    <w:p>
      <w:r>
        <w:t>3.Â Â Â Â Â Â Â Â  Zustellung gegen Empfangsschein an:</w:t>
      </w:r>
    </w:p>
    <w:p>
      <w:r>
        <w:t>- X.___</w:t>
      </w:r>
    </w:p>
    <w:p>
      <w:r>
        <w:t>- Schweizerische Unfallversicherungsanstalt unter Beilage einer Kopie von Urk. 1 und Urk. 4</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