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UV.2010.00296 vom 26. September 2012</w:t>
      </w:r>
    </w:p>
    <w:p>
      <w:r>
        <w:t>ZH Sozialversicherungsgericht, 2012-09-26, DE</w:t>
      </w:r>
    </w:p>
    <w:p>
      <w:r>
        <w:rPr>
          <w:b/>
        </w:rPr>
        <w:t xml:space="preserve">Quelle: </w:t>
      </w:r>
      <w:r>
        <w:t>https://mcp.opencaselaw.ch/entscheid/zh_sozialversicherungsgericht_UV.2010.00296</w:t>
      </w:r>
    </w:p>
    <w:p>
      <w:r>
        <w:t>FR: ZH_SOZIALVERSICHERUNGSGERICHT UV.2010.00296 du 26 septembre 2012</w:t>
      </w:r>
    </w:p>
    <w:p>
      <w:r>
        <w:t>IT: ZH_SOZIALVERSICHERUNGSGERICHT UV.2010.00296 del 26 settembre 2012</w:t>
      </w:r>
    </w:p>
    <w:p>
      <w:pPr>
        <w:pStyle w:val="Heading2"/>
      </w:pPr>
      <w:r>
        <w:t>Erwägungen</w:t>
      </w:r>
    </w:p>
    <w:p>
      <w:r>
        <w:rPr>
          <w:b/>
        </w:rPr>
        <w:t>E. 3</w:t>
      </w:r>
    </w:p>
    <w:p>
      <w:r>
        <w:t>3.1Â Â Â Â  Das Vorliegen einer Berufskrankheit im Sinne von Art. 9 Abs. 2 UVG aufgrund eines Handekzems bei vermutlicher Sensibilisierung auf Plaktatleim (vgl. dazu Schreiben der SUVA vom 7. Juni 2006, Urk. 13/Z48) ist unbestritten. Insbesondere stellte die Beschwerdegegnerin die Dauerhaftigkeit der Berufskrankheit nicht in Frage und machte auch nicht geltend, es handle sich im Wesentlichen nur um eine vorbestehende Ãberempfindlichkeit (vgl. dazu BGE 135 V 269 [Pra 2010 Nr. 24 E. 4.2 f.]).</w:t>
      </w:r>
    </w:p>
    <w:p>
      <w:r>
        <w:t>Â Â Â Â Â Â Â Â  Im Streite steht dagegen die HÃ¶he der ab 1. Mai 2009, im Anschluss an die Ã¼ber die Maximaldauer von vier Jahren ausgerichtete ÃbergangsentschÃ¤digung gemÃ¤ss Art. 84 Abs. 2 UVG in Verbindung mit Art. 86 der Verordnung Ã¼ber die VerhÃ¼tung von UnfÃ¤llen und Berufskrankheiten (VUV) und Art. 87 Abs. 3 VUV zugesprochenen Invalidenrente. Uneinig sind sich die Parteien dabei insbesondere in der Frage, welche ArbeitsfÃ¤higkeit dem BeschwerdefÃ¼hrer in einer angepassten TÃ¤tigkeit zuzurechnen ist (vgl. Urk. 1 S. 4 ff., 2 S. 4 f., 11 S. 3 f., 11 S. 4 f., 28 S. 3 f.).</w:t>
      </w:r>
    </w:p>
    <w:p>
      <w:r>
        <w:t>3.2Â Â Â Â  Nachdem die IV-Stelle bis anhin keinen Rentenentscheid erlassen hat, steht eine diesbezÃ¼gliche Koordination nicht zur Diskussion, zumal das Bundesgericht in BGE 131 V 362 eine Bindungswirkung der InvaliditÃ¤tsschÃ¤tzung der Invalidenversicherung fÃ¼r die Unfallversicherung verneinte. Dies schliesst einen RÃ¼ckgriff auf die in den invalidenversicherungsrechtlichen Verfahren gewonnenen Erkenntnisse nicht aus, zumal die Beschwerdegegnerin im angefochtenen Entscheid letztlich nicht geltend machte, es lÃ¤gen mit der Berufskrankheit nicht kausal zusammenhÃ¤ngende gesundheitliche EinschrÃ¤nkungen respektive EinschrÃ¤nkungen, welche im Rahmen auf Art. 36 Abs. 2 UVG zu einer KÃ¼rzung berechtigten, vor.</w:t>
      </w:r>
    </w:p>
    <w:p>
      <w:r>
        <w:rPr>
          <w:b/>
        </w:rPr>
        <w:t>E. 3.3</w:t>
      </w:r>
    </w:p>
    <w:p>
      <w:r>
        <w:t>3.3.1Â Â  Aus medizinischer Sicht prÃ¤sentierte sich der Sachverhalt bis zum Erlass der zweiten NichteignungsverfÃ¼gung der SUVA vom 7. August 2006 (Urk. 13/Z48) im Wesentlichen entsprechend der hierzu zitierten Aktenlage im Urteil in Sachen des BeschwerdefÃ¼hrers gegen die IV-Stelle vom 27. Juli 2007 im Verfahren Nr. IV.2006.00397.</w:t>
      </w:r>
    </w:p>
    <w:p>
      <w:r>
        <w:t>Â Â Â Â Â Â Â Â  In ErwÃ¤gung 3.6 desselben schloss das Gericht in WÃ¼rdigung der medizinischen Akten, dass sich die allergene Problematik des BeschwerdefÃ¼hrers wÃ¤hrend seiner TÃ¤tigkeit als PlakataufhÃ¤nger ausgeweitet habe. Neben den bisherigen Sensibilisierungen auf Zement, Chromverbindungen und Kautschukadditive entsprechend der NichteignungsverfÃ¼gung aus dem Jahr 1993 hÃ¤tten sich weitere UnvertrÃ¤glichkeiten manifestiert, welche letztendlich von der SUVA gestÃ¼tzt auf die Erkenntnisse des A.___ (vgl. dazu insbesondere Gutachten des A.___ vom 6. MÃ¤rz 2005, Urk.12/213) als Berufskrankheit beurteilt worden seien (vgl. Urk. 13/Z48) und zur NichteignungsverfÃ¼gung vom 7. August 2006 gefÃ¼hrt hÃ¤tten.</w:t>
      </w:r>
    </w:p>
    <w:p>
      <w:r>
        <w:t>Â Â Â Â Â Â Â Â  Im damaligen Verfahren blieb grundsÃ¤tzlich unbestritten und es wurde insbesondere gestÃ¼tzt auf die Berichte des A.___ als erstellt erachtet, dass der BeschwerdefÃ¼hrer in einer angepassten TÃ¤tigkeit bei optimaler Pflege und gutem Schutz der HÃ¤nde mittels allergiekonformer Handschuhe grundsÃ¤tzlich voll arbeitsfÃ¤hig war. Aufgrund der kumulativ-toxischen Komponente mit atopischer Diathese wurden lediglich TÃ¤tigkeiten als zumutbar erachtet, welche an den HÃ¤nden nicht hautbelastend sind (Vermeidung von Feuchtarbeit und mechanisch beanspruchenden TÃ¤tigkeiten) und keine Kontakte zu den in den NichteignungsverfÃ¼gungen aufgezÃ¤hlten Allergenen sowie zu Latex- und Thiuramhaltigen Handschuhen hÃ¤tten (vgl. zum Ã¤rztlichen Zumutbarkeitsprofil unter anderem: Urk. 17/158/4). Anders als noch im Urteil IV.1997.00138 wurde dieses Ã¤rztliche Zumutbarkeitsprofil als nunmehr genÃ¼gend abgeklÃ¤rt erachtet. Angesichts der erheblichen Schwierigkeiten bei der Suche einer geeigneten Arbeitsstelle aufgrund der Ausweitung der Allergieliste und der atopischen Diathese, welche mit einem Ã¼berdurchschnittlichen Aufwand bei der AbklÃ¤rung der Geeignetheit einer TÃ¤tigkeit und einer zusÃ¤tzlichen und erheblichen EinschrÃ¤nkung bei der Stellensuche verbunden ist, wurde im Urteil IV.2006.00397 der Anspruch des BeschwerdefÃ¼hrers auf Arbeitsvermittlung gemÃ¤ss Art. 18 des Bundesgesetzes Ã¼ber die Invalidenversicherung (IVG) und Berufsberatung im Sinne von Art. 15 IVG bejaht.</w:t>
      </w:r>
    </w:p>
    <w:p>
      <w:r>
        <w:t>Â Â Â Â Â Â Â Â  Der Arbeitsmediziner der SUVA Dr. C.___ wies in seiner Stellungnahme zuhanden der Beschwerdegegnerin betreffend Berufskrankheit vom 7. Juni 2006 darauf hin, dass aufgrund der Vorgeschichte mit rezidivierendem Handekzem und vermuteter kumulativ-toxischer Komponente (bei atopischer Disposition) grundsÃ¤tzlich nur TÃ¤tigkeiten in Frage kÃ¤men, die an den HÃ¤nden nicht hautbelastend sein sollten (Vermeidung von Feuchtarbeit und mechanisch beanspruchenden TÃ¤tigkeiten sowie allen TÃ¤tigkeiten, die durch die NichteignungsverfÃ¼gungen ohnehin zu unterlassen seien). Der BeschwerdefÃ¼hrer sollte weiterhin engmaschig hausÃ¤rztlich kontrolliert werden und das RAV respektive die IV-Stelle sollten darum bemÃ¼ht sein, dem BeschwerdefÃ¼hrer eine geeignete TÃ¤tigkeit zu vermitteln, da ein grÃ¶sseres Spektrum von TÃ¤tigkeiten nicht mehr zumutbar sei (Urk. 13/Z48).</w:t>
      </w:r>
    </w:p>
    <w:p>
      <w:r>
        <w:t>3.3.2Â Â  Der Allergologe und Dermatologe Dr. E.___, welcher im Rahmen des durch die Activita organisierten Arbeitsversuches bei der D.___ beigezogen worden war, verwies in seinen Berichten an die IV-Stelle vom 26. Juni 2008 (Urk. 17/222) und an die Beschwerdegegnerin vom 21. Juli 2008 (Urk. 12/ZM5) bezÃ¼glich der relevanten Diagnosen auf den Bericht des A.___ vom 6. MÃ¤rz 2005 (Urk. 17/223). Zur RestarbeitsfÃ¤higkeit des BeschwerdefÃ¼hrers fÃ¼hrte er aus, dass es beim ab Januar 2008 angetretenen Arbeitsversuch initial wiederum zu einer Verschlechterung des Handekzems aufgrund einer vor allem mechanisch irritativen Komponente gekommen sei. Nach einer einwÃ¶chigen ArbeitsunfÃ¤higkeit ab 25. Februar 2008 sei der BeschwerdefÃ¼hrer mit einem mÃ¶glichst optimalen Hautschutz und dem Tragen von Schutzhandschuhen in der Lage gewesen, stets zu arbeiten. Daher liege seines Erachtens eine 100%ige ArbeitsfÃ¤higkeit fÃ¼r Arbeiten ohne Kontakt mit den sensibilisierten Substanzen vor, wobei zu beachten sei, dass die Arbeit mÃ¶glichst sauber und trocken gestaltet sei. Als Schutzmassnahme sollten Handschuhe (Latexfrei, idealerweise baumwollgefÃ¼ttert) getragen werden, sobald eine Feuchtarbeit verrichtet werden mÃ¼sse oder Schmutzarbeiten nÃ¶tig seien. SÃ¤mtliche anderen Arbeiten seien ihm aber zumutbar.</w:t>
      </w:r>
    </w:p>
    <w:p>
      <w:r>
        <w:t>3.3.3Â Â  Dr. F.___ stellte in seinem Gutachten vom 6. Juli 2009 die Diagnosen einer atopischen Diathese einer Typ I-Sensibilisierung auf Latex sowie einer Typ IV-Sensibilisierung auf Thiuram-Mix, Kaliumdichromnat und Tetrathylthiuramdisulfid. Seine Beurteilung lautete dahingehend, dass beim BeschwerdefÃ¼hrer eine Sensibilisierung auf die berufsrelevanten Kontaktallergene bestehe, die bei entsprechendem Kontakt fÃ¼r eine AuslÃ¶sung eines Handekzems verantwortlich seien. Daneben fÃ¤nde sich noch ein deutlich erhÃ¶htes Gesamt-IgE sowie ein Sx1, was zusÃ¤tzlich die atopische Diathese bestÃ¤tige. Die aktuell bestehenden dyshidrotischen VerÃ¤nderungen seien in diesem Kontext zu sehen; allenfalls spiele noch die bekannte Hyperhidrose als Co-Faktor mit. Die aktuell bestehenden klinischen VerÃ¤nderungen seien jedoch diskret und Ã¼berwiegend wahrscheinlich nicht auf die eigentliche Berufskrankheit zurÃ¼ckzufÃ¼hren, sondern dem dyshidrotischen Ekzem bei atopischer Diathese zuzurechnen.</w:t>
      </w:r>
    </w:p>
    <w:p>
      <w:r>
        <w:t>Â Â Â Â Â Â Â Â  Zur dauernden, berufskrankheitsbedingten EinschrÃ¤nkung der ArbeitsfÃ¤higkeit Ã¤usserte sich Dr. F.___ dahingehend, dass sÃ¤mtliche Arbeiten ohne Kontakt zu den beschriebenen Kontaktallergenen, das heisst keine Arbeiten auf dem Bau, mit Farben, chemischen Materialien, ImprÃ¤gnationen, keine Arbeiten mit Kontakt zu Gummimaterialien sowie Wasser, zumutbar seien. Mithin seien Arbeiten im BÃ¼ro, als Chauffeur, Kurier etc. denkbar. Notwendig seien eine peinliche Allergieprophylaxe, das Einhalten der Hautschutzmassnahmen und das schnelle Einsetzen einer spezifischen Therapie (lokale Steroide). In Anbetracht der berufsrelevanten und breiten Kontaktsensibilisierungen, der atopischen Diathese, der fehlenden Ausbildung und der mangelnden Schreib- und Lesefertigkeiten, der multiplen Versuche zur Arbeitsvermittlung, der fehlenden Sprachkenntnisse, der langjÃ¤hrigen Arbeitskarenz sowie des fehlenden FÃ¼hrer-ausweises sei kaum von einer dauernden ArbeitsfÃ¤higkeit auszugehen. Da sowohl Feuchtkontakte, Kontakte mit Chemikalien und mit Gummihandschuhen als auch mechanisch belastende TÃ¤tigkeiten wegfielen, sei der BeschwerdefÃ¼hrer kaum vermittelbar. Es liege eine sozial und medizinisch komplexe Situation vor (Urk. 12/ZM7).</w:t>
      </w:r>
    </w:p>
    <w:p>
      <w:r>
        <w:t>Â Â Â Â Â Â Â Â  In seiner ergÃ¤nzenden Stellungnahme zur dauernden ArbeitsunfÃ¤higkeit vom 3. August 2009 fÃ¼hrte Dr. F.___ aus, dass der Prozentsatz aufgrund der zusÃ¤tzlich bestehenden relevanten Co-Faktoren (atopische Diathese und Hyperhidrose) Ã¤usserst schwierig zu beziffern sei. Infolge der breiten Kontaktsensibilisierungen mit der Schwierigkeit der vollstÃ¤ndigen Allergenprophylaxe mÃ¼sse auch in einer angepassten TÃ¤tigkeit ein ArbeitsunfÃ¤higkeitsrisiko von 30-50 % angenommen werden (Urk. 12/ZM8). Am 10. September 2009 prÃ¤zisierte er auf neuerliche RÃ¼ckfrage der Beschwerdegegnerin, dass der BeschwerdefÃ¼hrer 50 bis 70 % in einer optimalen beruflichen TÃ¤tigkeit einsetzbar sein sollte. Es bestehe ein Ã¤usserst fragiles Gleichgewicht bei seinem Hautzustand. Ob letztlich eine Verschlechterung des Handekzems allein durch eine mechanische Ãberbelastung oder durch einen zeitweiligen Kontakt mit den bekannten Allergenen bedingt sei, lasse sich nicht auf die Kommastelle auseinander dividieren. Die nachgewiesene Sensibilisierung auf Thiuram-Mix sei folglich problematisch bei Kontakt mit Gummiartikeln aller Art. Noch schwieriger sei das Vermeiden von Kaliumdichromat, das als Bestandteil oder Verunreinigung in vielen Substanzen vorkomme. Hier bestÃ¼nden KontaktmÃ¶glichkeiten in nahezu allen Berufen. Zu erwÃ¤hnen sei beispielsweise, dass es bei Arbeit im BÃ¼ro seines Sohnes mit Papierkontakt ebenfalls zu einer Verschlechterung der Hautsituation gekommen sei. Folglich mÃ¼sse eine optimal angepasste TÃ¤tigkeit sowohl die schwierige vollstÃ¤ndige Allergenprophylaxe, als auch die Vermeidung von mechanischer Belastung und Feuchtexpositionen der HÃ¤nde umfassen.</w:t>
      </w:r>
    </w:p>
    <w:p>
      <w:r>
        <w:t>Â Â Â Â Â Â Â Â  Da eine mechanische Belastung sowie minimale Allergenexpositionen im Rahmen von Kurierdiensten und auch bei Kontrollfunktionen sowie einer Arbeit zum Beispiel als Portier kaum vollstÃ¤ndig auszuschliessen seien, sei von einem ArbeitsunfÃ¤higkeitsrisiko von 30 bis 50 % auszugehen (Urk. 12/ZM9).</w:t>
      </w:r>
    </w:p>
    <w:p>
      <w:r>
        <w:t>Â Â Â Â Â Â Â Â  Dr. med. H.___, Leiter Bereich FachÃ¤rztinnen/Ã¤rzte AMF, Facharzt FMH fÃ¼r Arbeitsmedizin und Dermatologie, der Abteilung Arbeitsmedizin der SUVA nahm am 11. November 2009 auf Bitte der Beschwerdegegnerin Stellung im Sinne einer berufsdermatologischen EinschÃ¤tzung des ausfÃ¼hrlich dargelegten Sachverhalts. Dabei legte er dar, dass, auch wenn bei der Untersuchung des BeschwerdefÃ¼hrers durch Dr. F.___ vom 1. Juli 2009 eine Symptomatik vorgelegen sei, welche am ehesten einem dyshidrotischen, atopischen Minimalekzem entspreche, der Krankheitsverlauf seit der zweiten NichteignungsverfÃ¼gung darauf hinweise, dass eine kombinierte exogen und endogen verursachte funktionelle HautbeeintrÃ¤chtigung an den HÃ¤nden persistiere. Der BeschwerdefÃ¼hrer habe bei seiner TÃ¤tigkeit als Gipser und spÃ¤ter als PlakataufhÃ¤nger langdauernde im Wesentlichen beruflich verursachte Handekzeme erlitten, die zweimal eine NichteignungsverfÃ¼gung erfordert hÃ¤tten. Chronische Ekzeme bewirkten in praktisch allen FÃ¤llen eine langdauernde erheblich verminderte Hautbelastbarkeit im Bereich der aktuellen oder rezidivierend abgelaufenen Ekzeme. Die langdauernde respektive immer wiederkehrende Behandlung mit lokalen Kortikosteroiden kÃ¶nne in manchen FÃ¤llen zu einer HautverdÃ¼nnung und zusÃ¤tzlich verminderter Hautbelastbarkeit fÃ¼hren. Die Polysensibilisierung auf Arbeits- und hÃ¤usliche Stoffe erhÃ¶he das Risiko fÃ¼r rezidivierende EkzemschÃ¼be. Auch wenn der Hautbefund bei der Untersuchung vom 1. Juli 2009 morphologisch einem atopischen Ekzem entsprochen habe, sei letztlich der heutige Zustand respektive die verminderte kutane Belastbarkeit eine Kombination von Berufskrankheitsfolgen und einer Veranlagung zu Ekzemen (atopische Diathese). Daher sei, wie Dr. F.___ festhalte, eine eindeutige Abgrenzung zwischen endogenen und exogenen Kausalfaktoren kaum mÃ¶glich.</w:t>
      </w:r>
    </w:p>
    <w:p>
      <w:r>
        <w:t>Â Â Â Â Â Â Â Â  In sehr vielen TÃ¤tigkeiten dÃ¼rfte der BeschwerdefÃ¼hrer aufgrund der verminderten Hautbelastbarkeit und der Polysensibilisierung erneut eine HautgefÃ¤hrdung und Neuausbildung von Ekzemen erfahren. Dr. H.___ erachtete die EinschÃ¤tzung von Dr. F.___ als realistisch. Es sei nicht mÃ¶glich, das ArbeitsunfÃ¤higkeitsrisiko in einer angepassten TÃ¤tigkeit nur den berufskrankheitsfremden Faktoren zuzuschieben. Beim Arbeitsversuch bei D.___ als Staplerfahrer im Bereich Logistik habe sich trotz eindeutiger Vermeidung der auslÃ¶senden Allergene eine erneute starke Ekzematisierung gezeigt, was auf erhebliche EinschrÃ¤nkungen der Hautbelastbarkeit auch bei trockenen, grundsÃ¤tzlich sauberen TÃ¤tigkeiten hinweise. In Kenntnis des Verlaufs seit der zweiten NichteignungsverfÃ¼gung sei somit vom Vorliegen nicht bloss einer wesentlichen EinschrÃ¤nkung des noch verbleibenden TÃ¤tigkeitsspektrums auszugehen, sondern auch von einer persistierenden Verminderung der generellen Hautbelastbarkeit (Urk. 12/ZM10).</w:t>
      </w:r>
    </w:p>
    <w:p>
      <w:r>
        <w:t>3.4Â Â Â Â  Die WÃ¼rdigung der medizinischen Aktenlage im Lichte der neuen bundesgerichtlichen Rechtsprechung gemÃ¤ss BGE 135 V 269 macht zunÃ¤chst deutlich, dass die Beschwerdegegnerin die Dauerhaftigkeit der Berufskrankheit zu Recht nicht in Frage stellte. Entsprechend der Beurteilung von Dr. H.___ und Dr. F.___ ist denn auch davon auszugehen, dass die Co-Faktoren der atopischen Diathese und der Hyperhidrose letztlich nicht von den beruflich verursachten Handekzemen getrennt werden kÃ¶nnen und eine kombinierte exogen und endogen verursachte, sich gegenseitig unterhaltende funktionelle HautbeeintrÃ¤chtigung resultiert, welche nicht nach ihrem jeweiligen Schadensanteil am gesamten Gesundheitsschaden trenn- und zuordenbar ist (vgl. dazu BGE 126 V 117; EVGE 1953 9 E. 2 und 3). FÃ¼r deren Folgen ist die Beschwerdegegnerin grundsÃ¤tzlich gesamthaft leistungspflichtig. Auch steht eine KÃ¼rzung gestÃ¼tzt auf Art. 36 Abs. 2 UVG entsprechend Satz 2 dieser Bestimmung zu Recht nicht zur Diskussion.</w:t>
      </w:r>
    </w:p>
    <w:p>
      <w:r>
        <w:t>Â Â Â Â Â Â Â Â  Was das Ausmass der ArbeitsfÃ¤higkeit in einer angepassten TÃ¤tigkeit anbelangt, bestÃ¤tigen die neueren medizinischen Akten das bereits in ErwÃ¤gung 3.6 des Urteils IV.2006.00397 vom 27. Juli 2007 als medizinisch genÃ¼gend abgeklÃ¤rt beurteilte Ã¤rztliche Zumutbarkeitsprofil. Weiterhin ist mit dem im Sozialversicherungsrecht Ã¼blichen Beweisgrad der Ã¼berwiegenden Wahrscheinlichkeit (BGE 119 V 7 E. 3c/aa) davon auszugehen, dass der BeschwerdefÃ¼hrer rein medizinisch-theoretisch in einer nicht hautbelastenden TÃ¤tigkeit (Vermeidung von Feuchtarbeit und mechanisch beanspruchenden Arbeiten) ohne Kontakt zu den in den NichteignungsverfÃ¼gungen aufgezÃ¤hlten Allergenen sowie unter Beachtung einer peinlichen Allergenprophylaxe und dem Einhalten der Hautschutzmassnahmen grundsÃ¤tzlich zu 100 % arbeitsfÃ¤hig wÃ¤re. Dies bestÃ¤tigte nicht nur Dr. E.___ (Urk. 12/ZM5), sondern auch Dr. Prof. F.___ im Grundsatz (Urk. 12/ZM7 S. 3).</w:t>
      </w:r>
    </w:p>
    <w:p>
      <w:r>
        <w:t>Â Â Â Â Â Â Â Â  Jedoch legten Prof. F.___ und Dr. H.___ unter BerÃ¼cksichtigung des konkreten Beschwerdeverlaufs insbesondere auch beim Arbeitsversuch im D.___ sowie bei TÃ¤tigkeiten im privaten Umfeld in nachvollziehbarer und begrÃ¼ndeter Weise dar, dass eine Reduktion auf eine rein medizinisch-theoretische Betrachtung dem Ã¤usserst fragilen Gleichgewicht des Hautzustandes und der vielschichtigen Problematik nicht genÃ¼gend Rechnung trÃ¤gt. Ein gÃ¤nzlicher Ausschluss sÃ¤mtlicher im Zumutbarkeitsprofil als zu vermeidend festgelegten TÃ¤tigkeiten oder Stoffe ist kaum realisierbar. Auch bei einer gut bis optimal angepassten TÃ¤tigkeit ist gemÃ¤ss den Ã¤rztlichen Beurteilungen folglich mit Ã¼berwiegender Wahrscheinlichkeit mit gewissen Rezidiven zu rechnen. Dies schliesst aber die Annahme einer durchaus relevanten ArbeitsfÃ¤higkeit nicht aus. Wie der Arbeitsversuch im Logistikzentrum des D.___ zeigte, war der BeschwerdefÃ¼hrer trotz der dabei aufgetretenen Hautekzeme denn auch in der Lage, die ArbeitsfÃ¤higkeit abgesehen von einer Woche Ã¼ber Monate hinweg grundsÃ¤tzlich aufrechtzuerhalten (vgl. insbesondere Urk. 17/222).</w:t>
      </w:r>
    </w:p>
    <w:p>
      <w:r>
        <w:t>Â Â Â Â Â Â Â Â  Die SchÃ¤tzung von Prof. F.___, wonach ein ÂArbeitsunfÃ¤higkeitsrisikoÂ von 30 bis 50 % vorliege, erscheint im Lichte der GesamtumstÃ¤nde insofern als vertretbar, als es wahrscheinlich ist, dass die FragilitÃ¤t und AnfÃ¤lligkeit des Hautzustandes des BeschwerdefÃ¼hrers nahezu bei jeder TÃ¤tigkeit irgendwann zum Tragen kommt, und sich die Sensibilisierungen regelmÃ¤ssig erst im Verlauf einer TÃ¤tigkeit manifestieren. Der BeschwerdefÃ¼hrer wird dadurch teilweise zu ArbeitsunterbrÃ¼chen oder gar zum Absetzen von TÃ¤tigkeiten und dem Suchen einer neuen Arbeitsstelle gezwungen sein, wodurch letztlich zwar nicht oder nur am Rande die rein funktionelle ArbeitsfÃ¤higkeit, jedoch die ErwerbsfÃ¤higkeit im Sinne von Art. 7 ATSG eingeschrÃ¤nkt wird.</w:t>
      </w:r>
    </w:p>
    <w:p>
      <w:r>
        <w:t>3.5Â Â Â Â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Entsprechend ist die Beschwerdegegnerin der Beurteilung von Prof. F.___ letztlich zu Recht gefolgt. Was der BeschwerdefÃ¼hrer gegen die Beweiskraft des Gutachtens von Prof. F.___ vorbringen lÃ¤sst (vgl. Urk. 1 S. 5, 22 S. 4), Ã¤ndert hieran nichts. Auch wenn Prof. F.___ bei Erstellung des Gutachtens nur Ã¼ber die darin erwÃ¤hnten Ã¤rztlichen Berichte verfÃ¼gte, lassen insbesondere seine anamnestischen Erhebungen auf eine eingehende Auseinandersetzung mit dem gesundheitlichen Verlauf wie auch den gescheiterten beruflichen BemÃ¼hungen des BeschwerdefÃ¼hrers schliessen (Urk. 10/ZM7). Hinzu kommt, dass die Beurteilung von Dr. H.___, welche sich derjenigen von Prof. F.___ anschliesst, offensichtlich auf eingehender und umfassender Aktenkenntnis beruht (Urk. 12/ZM10).</w:t>
      </w:r>
    </w:p>
    <w:p>
      <w:r>
        <w:t>Â Â Â Â Â Â Â Â  Was das konkrete Ausmass der EinschrÃ¤nkung anbelangt, ist die Annahme einer EinschrÃ¤nkung der (erwerblich verwertbaren) LeistungsfÃ¤higkeit von 30 % im angefochtenen Entscheid ebenfalls nicht zu beanstanden. Einerseits trÃ¤gt diese EinschÃ¤tzung dem Umstand Rechnung, dass nicht nur Dr. E.___, sondern auch die Ãrzte des A.___ im Jahr 2005 von einer grundsÃ¤tzlich 100%igen LeistungsfÃ¤higkeit ausgingen. Andererseits ist offensichtlich, dass Prof. F.___ in seiner SchÃ¤tzung von 30 bis 50 % EinschrÃ¤nkung gewisse invaliditÃ¤tsfremde Faktoren, welche zwar das im Rahmen der InvaliditÃ¤tsbemessung zu berÃ¼cksichtigende Erwerbseinkommen, nicht aber die Beurteilung der ErwerbsfÃ¤higkeit im Sinne von Art. 7 ATSG beeinflussen dÃ¼rfen (Kieser, ATSG-Kommentar, 2. Auflage, Art. 7 Rz 27), mitberÃ¼cksichtigt hat (vgl. Urk. 12/ZM7 S. 4).</w:t>
      </w:r>
    </w:p>
    <w:p>
      <w:r>
        <w:t>Â Â Â Â Â Â Â Â  Hinzu kommt die NÃ¤he der hier aufgrund der konkreten UmstÃ¤nde zu berÃ¼cksichtigenden EinschrÃ¤nkung der ErwerbsfÃ¤higkeit zum sogenannten behinderungsbedingten Abzug, mit welchem Korrekturen der statistischen Tabellenwerte im Rahmen des Einkommensvergleichs vorgenommen werden, um den konkreten UmstÃ¤nden Rechnung zu tragen. Dieser ist rechtsprechungsgemÃ¤ss auf maximal 25 % beschrÃ¤nkt (BGE 126 V 75), was die Angemessenheit der EinschrÃ¤nkung von hÃ¶chstens 30 % unterstreicht.</w:t>
      </w:r>
    </w:p>
    <w:p>
      <w:r>
        <w:t>3.6Â Â Â Â  Was den Zeitpunkt der mit Einspracheentscheid vom 27. August 2010 rÃ¼ckwirkend ab 1. Mai 2009 zugesprochenen Rente anbelangt, lÃ¤sst der BeschwerdefÃ¼hrer nicht bestreiten, dass der Heilungsprozess der berufskrankheitsbedingten GesundheitsbeeintrÃ¤chtigung im Sinne von Art. 19 Abs. 1 UVG abgeschlossen ist. Er lÃ¤sst jedoch opponieren, dass die Voraussetzungen fÃ¼r den Rentenanspruch schon vor diesem Zeitpunkt vorgelegen hÃ¤tten, weshalb der Rentenbeginn vorzuverlegen sei (vgl. entsprechenden Einwand des BeschwerdefÃ¼hrers in Urk. 22 S. 5).</w:t>
      </w:r>
    </w:p>
    <w:p>
      <w:r>
        <w:t>Â Â Â Â Â Â Â Â  Wie die Beschwerdegegnerin zu Recht entgegnete (Urk. 28 S. 3), wÃ¼rde sich ein frÃ¼herer Rentenbeginn hÃ¶chstens zu Ungunsten des BeschwerdefÃ¼hrers, welcher bis 30. April 2009 in den Genuss einer ÃbergangsentschÃ¤digung von monatlich Fr. 3Â467.- gestÃ¼tzt auf einen mutmasslich entgangenen Verdienst von Fr. 4Â334.- gekommen war (vgl. Urk. 12/2), auswirken. Von der PrÃ¼fung einer allfÃ¤lligen reformatio in peius in diesem Zusammenhang ist aber angesichts des Umstandes, dass die Eingliederungsmassnahmen der Invalidenversicherung in Form von Arbeitsvermittlung bis April 2009 liefen (vgl. Verlaufsprotokoll Arbeitsvermittlung, Urk. 32/16/10), abzusehen.</w:t>
      </w:r>
    </w:p>
    <w:p>
      <w:r>
        <w:rPr>
          <w:b/>
        </w:rPr>
        <w:t>E. 4</w:t>
      </w:r>
    </w:p>
    <w:p>
      <w:r>
        <w:t>4.1Â Â Â Â  Die Beschwerdegegnerin bemass den InvaliditÃ¤tsgrad gestÃ¼tzt auf ein Valideneinkommen von Fr. 57Â672.- und stÃ¼tzte sich dabei auf den Zentralwert der Bruttoeinkommen, Total, fÃ¼r einfache und repetitive TÃ¤tigkeiten bei MÃ¤nnern gemÃ¤ss der Schweizerischen Lohnstrukturerhebung (LSE) 2008 des Bundesamtes fÃ¼r Statistik (Tabelle TA1) von monatlich Fr. 4Â806.-. Bei der Bestimmung des hypothetischen Invalideneinkommens beschrÃ¤nkte sie sich auf einen 30%igen Abzug hiervon (Urk. 2, 12/Z225).</w:t>
      </w:r>
    </w:p>
    <w:p>
      <w:r>
        <w:t>4.2Â Â Â Â  Der BeschwerdefÃ¼hrer liess dagegen im Wesentlichen vorbringen, das hypothetische Valideneinkommen dÃ¼rfe nicht gestÃ¼tzt auf die TabellenlÃ¶hne berechnet werden, sondern es sei zumindest auf den versicherten Verdienst abzustellen, welcher im Urteil UV.2009.00287 vom 23. September 2010 festgelegt worden sei. Mithin sei ein massgebliches Bruttoeinkommen von Fr. 5Â466.70 und damit ein relevantes jÃ¤hrliches Valideneinkommen von mindestens Fr. 69Â400.40 ausgewiesen. Das hypothetische Invalideneinkommen sei zudem gestÃ¼tzt auf einen tieferen Tabellenlohn sowie unter GewÃ¤hrung eines leidensbedingten Abzugs festzusetzen (vgl. insbesondere Urk. 22 S. 5 f.).</w:t>
      </w:r>
    </w:p>
    <w:p>
      <w:r>
        <w:t>4.3Â Â Â Â  Mit Blick auf den zwecks Bestimmung des InvaliditÃ¤tsgrades im erwerblichen Bereich durchzufÃ¼hrenden Einkommensvergleich sind die VerhÃ¤ltnisse im Zeitpunkt des Beginns des eventuellen Rentenanspruchs massgebend, wobei das hypothetische Einkommen ohne Gesundheitsschaden (Valideneinkommen) und das trotz GesundheitsbeeintrÃ¤chtigung zumutbarerweise erzielbare Einkommen (Invalideneinkommen) auf zeitidentischer Grundlage zu ermitteln und allfÃ¤llige rentenwirksame Ãnderungen der Vergleichseinkommen bis zum VerfÃ¼gungserlass zu berÃ¼cksichtigen sind (BGE 129 V 222).</w:t>
      </w:r>
    </w:p>
    <w:p>
      <w:r>
        <w:t>Â Â Â Â Â Â Â Â  FÃ¼r die Ermittlung des Valideneinkommens ist entscheidend, was der Versicherte im Zeitpunkt des frÃ¼hest mÃ¶glichen Rentenbeginns nach dem Beweisgrad der Ã¼berwiegenden Wahrscheinlichkeit als Gesunder tatsÃ¤chlich verdient hÃ¤tte (RKUV 1993 Nr. U 168 E. 3).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224 E. 4.3.1 mit Hinweisen).</w:t>
      </w:r>
    </w:p>
    <w:p>
      <w:r>
        <w:t>4.4Â Â Â Â  Die Beschwerdegegnerin sah von einem Abstellen auf den zuletzt erzielten Verdienst als PlakataufhÃ¤nger im Jahr 2004 ab, weil die ehemalige Arbeitgeberin des BeschwerdefÃ¼hrers im Januar 2008 bestÃ¤tigte, dass der Einsatz der PlakataufhÃ¤nger aktuell infolge AuftragsrÃ¼ckgangs lediglich noch auf Abruf erfolge. Der Stundenlohn im Jahr 2008 habe lediglich noch Fr. 20.-- betragen; der 13. Monatslohn sei ersatzlos gestrichen worden (vgl. Urk. 12/Z139, 12/Z225 S. 6). Ein Abstellen auf den zuletzt erzielten Verdienst unter Anpassung an die Teuerung rechtfertigt sich angesichts der realen Einkommensentwicklung im Betrieb folglich nicht. Damit ist entgegen den Vorbringen des BeschwerdefÃ¼hrers auch nicht das im Urteil UV.2009.00287 fÃ¼r die Berechnung der ÃbergangsentschÃ¤digung als massgeblich erachtete monatliche Einkommen von Fr. 5Â466.70 als relevant zu erachten. Bei der Berechnung desselben wurden zudem entsprechend Art. 22 Ab. 2 lit. b UVV Kinderzulagen von Fr. 390.- mitberÃ¼cksichtigt (vgl. E. 3.3.2 des zitierten Urteils). Als Erwerbseinkommen im Sinne von Art. 18 Abs. 2 UVG gelten die mutmasslichen Jahreseinkommen, von denen BeitrÃ¤ge gemÃ¤ss AHVG erhoben werden. Dazu gehÃ¶ren die Kinderzulagen aber nicht (Urteil des Bundesgerichts U 80/02 vom 30. Juli 2002). Auch wurden angesichts der NÃ¤he der ÃbergangsentschÃ¤digung zum Taggeld die Normen fÃ¼r die Bestimmung des versicherten Verdienstes fÃ¼r Taggelder und nicht diejenigen fÃ¼r Renten beigezogen, was zum Beizug eines variablen Lohnanteils fÃ¼r AkkordtÃ¤tigkeit von Fr. 960.- fÃ¼hrte, der den durchschnittlichen variablen Lohnanteil, welcher dem hypothetischen Valideneinkommen zugrunde zu legen wÃ¤re, deutlich Ã¼berstieg (Urteil UV.2009.00287 E. 3.3.1 und 3.3.2).</w:t>
      </w:r>
    </w:p>
    <w:p>
      <w:r>
        <w:t>Â Â Â Â Â Â Â Â  Nach dem Gesagten stellte die Beschwerdegegnerin zu Recht nicht auf den zuletzt tatsÃ¤chlich erzielten Verdienst ab, sondern zog die statistischen Durchschnittswerte bei und dabei die dem ungelernten BeschwerdefÃ¼hrer zurechenbaren HilfsarbeitertÃ¤tigkeiten aus dem Anforderungsniveau 4 mit einem Bruttolohn von monatlich Fr. 4Â806.-. Angepasst an den vom Bundesamt fÃ¼r Statistik herausgegebenen geschlechts- und branchenspezifizischen Nominallohnindex (T1.1.93, Nominallohnindex fÃ¼r MÃ¤nner 2002-2010), der fÃ¼r das Jahr 2009 eine Teuerung von 2,1 % ausweist, und die betriebsÃ¼bliche wÃ¶chentliche Arbeitszeit im Jahr 2009 von 41,6 Stunden (Die Volkswirtschaft, 7/8-2012, Tab. B9.2), fÃ¼hrt dies zu einem hypothetischen Valideneinkommen fÃ¼r 2009 von Fr. 61Â238.50.</w:t>
      </w:r>
    </w:p>
    <w:p>
      <w:r>
        <w:t>4.5Â Â Â Â  Bei der Berechnung des Invalideneinkommens beschrÃ¤nkte sich die Beschwerdegegnerin auf einen sogenannten Prozentvergleich, indem sie das Invalideneinkommen gestÃ¼tzt auf 70 % des mit 100 % veranschlagten Valideneinkommens errechnete, so dass sich aus der Prozentdifferenz der InvaliditÃ¤tsgrad ergab (zum Prozentvergleich: BGE 114 V 310 E. 3a; Urteil des Bundesgerichts 8C_131/2011 vom 5. Juli 2011 E. 10.2.1 mit Hinweis).</w:t>
      </w:r>
    </w:p>
    <w:p>
      <w:r>
        <w:t>Â Â Â Â Â Â Â Â  Der ungelernte BeschwerdefÃ¼hrer kÃ¶nnte im Rahmen seines Ã¤rztlichen Zumutbarkeitsprofils grundsÃ¤tzlich in allen Wirtschaftszweigen Arbeitsstellen zum Beispiel als Kurier oder Portier bekleiden. Aus welchem Grund ein tieferer Tabellenlohn als das Total der BruttolÃ¶hne im Anforderungsniveau 4 beigezogen werden sollte, ist nicht ersichtlich, zumal an die Konkretisierung von Arbeits-gelegenheiten und Verdienstaussichten praxisgemÃ¤ss nicht Ã¼bermÃ¤ssige Anforderungen zu stellen sind;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Urteile des Bundesgerichts I 273/04 vom 29. MÃ¤rz 2005, I 591/02 vom 5. Mai 2004, I 285/99 vom 13. MÃ¤rz 2000 und U 176/98 vom 17. April 2000). Die gescheiterten ArbeitsbemÃ¼hungen des BeschwerdefÃ¼hrers lassen denn auch keine RÃ¼ckschlÃ¼sse auf die wirtschaftliche Verwertbarkeit seiner LeistungsfÃ¤higkeit auf dem ausgeglichenen Arbeitsmarkt zu.</w:t>
      </w:r>
    </w:p>
    <w:p>
      <w:r>
        <w:t>Â Â Â Â Â Â Â Â  Was den sogenannten behinderungsbedingten Abzug vom Tabellenlohn anbelangt, gilt Folgendes: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w:t>
      </w:r>
    </w:p>
    <w:p>
      <w:r>
        <w:t>Â Â Â Â Â Â Â Â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Wie die Beschwerdegegnerin zu Recht ausfÃ¼hrte, wirken sich Kriterien wie die NationalitÃ¤t, das Alter oder das Dienstalter im Anforderungsniveau 4 gar nicht oder nur beschrÃ¤nkt aus (Urk. 11 S. 4). Dem Merkmal des Alters des 1960 geborenen und damit im Zeitpunkt des Erlasses des angefochtenen Entscheides 50-jÃ¤hrigen BeschwerdefÃ¼hrers kommt noch keine wesentliche Bedeutung zu (vgl. AHI 1999 S. 242 E. 4c). Auch nimmt die Bedeutung der Dienstjahre im privaten Sektor ab, je niedriger das Anforderungsprofil ist, weswegen sich auch dieser Aspekt fÃ¼r den BeschwerdefÃ¼hrer kaum nachteilig auswirkt (AHI 1999 S. 181 E. 3b und S. 243 E. 4c). DafÃ¼r, dass der BeschwerdefÃ¼hrer als niedergelassener AuslÃ¤nder (Bewilligung C, Urk. 17/150/1) auf dem Arbeitsmarkt eine Lohneinbusse hinnehmen mÃ¼sste, sind keine Anhaltspunkte ersichtlich, war doch sein Einkommen vor Eintritt der hier zu beurteilenden Berufskrankheit nicht unterdurchschnittlich (BGE 126 V 75 E. 5). Im Gegenteil kann bei Inhabern einer Niederlassungsbewilligung der Lohn fÃ¼r einfache und repetitive TÃ¤tigkeiten gar Ã¼ber dem Durchschnittslohn liegen (Urteil des Bundesgerichts 9C_382/2007 vom 13. November 2007 E. 6.4 mit Hinweisen). Weitere Kriterien wie sprachliche Barrieren, fehlende Integration ins Arbeitsleben und mangelnde Ausbildung rechtfertigen ebenfalls keinen Abzug, handelt es sich dabei doch um invaliditÃ¤tsfremde GrÃ¼nde, welche keinen Rentenanspruch zu begrÃ¼nden vermÃ¶gen BGE 107 V 17 E. 2c). Die vielschichtige gesundheitliche Problematik und deren mutmassliche Auswirkungen auf die ErwerbsfÃ¤higkeit wurden bereits unter obiger E. 3.5 berÃ¼cksichtigt und ihr wurde mit einem 30%igen Abzug von der LeistungsfÃ¤higkeit Rechnung getragen. Ein zusÃ¤tzlicher behinderungsbedingter Abzug rechtfertigt sich auch im Lichte dessen nicht.</w:t>
      </w:r>
    </w:p>
    <w:p>
      <w:r>
        <w:t>Â Â Â Â Â Â Â Â  Zusammenfassend erweist sich die InvaliditÃ¤tsbemessung der Beschwerdegegnerin als richtig. Die Beschwerde ist diesbezÃ¼glich abzuweisen.</w:t>
      </w:r>
    </w:p>
    <w:p>
      <w:r>
        <w:rPr>
          <w:b/>
        </w:rPr>
        <w:t>E. 5</w:t>
      </w:r>
    </w:p>
    <w:p>
      <w:r>
        <w:t>5.1Â Â Â Â  Zu beurteilen bleibt die HÃ¶he des IntegritÃ¤tsschadens, welcher dem Anspruch auf IntegritÃ¤tsentschÃ¤digung zugrunde zu legen ist.</w:t>
      </w:r>
    </w:p>
    <w:p>
      <w:r>
        <w:t>Â Â Â Â Â Â Â Â  Bei der basierend auf einer IntegritÃ¤tseinbusse von 10 % festgelegten IntegritÃ¤tsentschÃ¤digung folgte die Beschwerdegegnerin ebenfalls der EinschÃ¤tzung von Dr. F.___ vom 6. Juli 2009 (Urk. 12/ZM7 S. 4).</w:t>
      </w:r>
    </w:p>
    <w:p>
      <w:r>
        <w:t>5.2Â Â Â Â  In der einschlÃ¤gigen Tabelle 18 der von der SUVA unter dem Titel "IntegritÃ¤tsentschÃ¤digung gemÃ¤ss UVG" herausgegebenen Richtlinien (IntegritÃ¤tsschaden bei SchÃ¤digung der Haut) finden sich unter lit. a Bemessungsrichtlinien zum IntegritÃ¤tsschaden bei Dermatosen. Mangels einer spezifischen dermatologischen Diagnose in der Prozentskala im Anhang 3 der UVV sind die entsprechenden dermatologischen Leiden durch Quervergleiche mit in der Liste aufgefÃ¼hrten IntegritÃ¤tsschÃ¤den zu ermitteln. Der gestÃ¼tzt auf diese Quervergleiche in Tabelle 18 aufgestellte Rahmen reicht von 5 % IntegritÃ¤tsschaden bei zum Beispiel einer Dermatose an der HandinnenflÃ¤che, Ã¼ber 10 % fÃ¼r Dermatosen am HandrÃ¼cken bis zu 50 % fÃ¼r eine schwere Entstellung im Gesicht. Voraussetzung fÃ¼r die IntegritÃ¤tsentschÃ¤digung ist aber, dass der Hautschaden voraussichtlich wÃ¤hrend des ganzen Lebens mindestens im gleichen Umfang besteht.</w:t>
      </w:r>
    </w:p>
    <w:p>
      <w:r>
        <w:t>5.3Â Â Â Â  Wie die Beschwerdegegnerin zu Recht ausfÃ¼hrte, ist die HautschÃ¤digung des BeschwerdefÃ¼hrers je nach Kontakt ausgeprÃ¤gt bis zu kaum sichtbar (Urk. 2 S. 6). Das Kriterium der Dauerhaftigkeit ist damit, wenn Ã¼berhaupt, nur fÃ¼r einen im unteren Bereich der SUVA-Tabelle 18 angesiedelten Schaden anzunehmen. Angesichts der Veranschlagung der IntegritÃ¤tseinbusse bei 10 % fÃ¼r Dermatosen am HandrÃ¼cken, ist der angefochtene Entscheid auch diesbezÃ¼glich nicht zu beanstanden.</w:t>
      </w:r>
    </w:p>
    <w:p>
      <w:r>
        <w:t>Â Â Â Â Â Â Â Â  Die Beschwerde ist abzuweisen.</w:t>
      </w:r>
    </w:p>
    <w:p>
      <w:r>
        <w:t>6.Â Â Â Â Â Â  Der unentgeltliche Rechtsvertreter des BeschwerdefÃ¼hrers hat mit Honorarnoten vom 10. September 2012 einen Aufwand von 23,70 Stunden und Spesen/Barauslagen von Fr. 177.70 geltend gemacht (Urk. 41/2-3). Nach KÃ¼rzung der Honorarnoten um den fÃ¼r drei FristverlÃ¤ngerungen (Urk. 20, 21, 35) geltend gemachten Stundenaufwand von insgesamt 1,15 Stunden auf 22,55 Stunden resultiert beim praxisgemÃ¤ssen Ansatz von Fr. 200.- (zuzÃ¼glich 8 % Mehrwertsteuer) eine EntschÃ¤digung von Fr. 5Â062.70, welche ihm aus der Gerichtskasse zu entrichten ist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Matthias Horschik, ZÃ¼rich, wird mit Fr. 5Â062.70 (inkl. Barauslagen und MWSt) aus der Gerichtskasse entschÃ¤digt. Der BeschwerdefÃ¼hrer wird auf Â§ 16 Abs. 4 GSVGer hingewiesen.</w:t>
      </w:r>
    </w:p>
    <w:p>
      <w:r>
        <w:t>4.Â Â Â Â Â Â Â Â  Zustellung gegen Empfangsschein an:</w:t>
      </w:r>
    </w:p>
    <w:p>
      <w:r>
        <w:t>- Rechtsanwalt Matthias Horschik</w:t>
      </w:r>
    </w:p>
    <w:p>
      <w:r>
        <w:t>- ZÃ¼rich Versicherungs-Gesellschaft AG</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