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UV.2010.00279 vom 31. Mai 2012</w:t>
      </w:r>
    </w:p>
    <w:p>
      <w:r>
        <w:t>ZH Sozialversicherungsgericht, 2012-05-31, DE</w:t>
      </w:r>
    </w:p>
    <w:p>
      <w:r>
        <w:rPr>
          <w:b/>
        </w:rPr>
        <w:t xml:space="preserve">Quelle: </w:t>
      </w:r>
      <w:r>
        <w:t>https://mcp.opencaselaw.ch/entscheid/zh_sozialversicherungsgericht_UV.2010.00279</w:t>
      </w:r>
    </w:p>
    <w:p>
      <w:r>
        <w:t>FR: ZH_SOZIALVERSICHERUNGSGERICHT UV.2010.00279 du 31 mai 2012</w:t>
      </w:r>
    </w:p>
    <w:p>
      <w:r>
        <w:t>IT: ZH_SOZIALVERSICHERUNGSGERICHT UV.2010.00279 del 31 maggio 2012</w:t>
      </w:r>
    </w:p>
    <w:p>
      <w:pPr>
        <w:pStyle w:val="Heading2"/>
      </w:pPr>
      <w:r>
        <w:t>Erwägungen</w:t>
      </w:r>
    </w:p>
    <w:p>
      <w:r>
        <w:rPr>
          <w:b/>
        </w:rPr>
        <w:t>E. 4</w:t>
      </w:r>
    </w:p>
    <w:p>
      <w:r>
        <w:t>4.1Â Â Â Â  In Bezug auf die Schwere des Unfallereignisses vom 4. Juli 2006 besteht zwischen den Parteien insofern Uneinigkeit, als die Beschwerdegegnerin dieses als leicht einstufte, wogegen die BeschwerdefÃ¼hrerin die Kollision als Auffahrunfall im mittleren Bereich einordnete. Ausgehend von einem eher harmlosen Geschehensablaufs und des polizeilich geschÃ¤tzten Sachschadens (vgl. Urk. 11/A1, Heck eingedrÃ¼ckt Fr. 6'000.-) sowie mit Blick auf die bundesgerichtliche Kasuistik (vgl. etwa die Zusammenstellung im Urteil 8C_996/2010 vom 14. MÃ¤rz 2011 E. 7.2) ist festzustellen, dass gesamthaft betrachtet hÃ¶chstens von einem mittelschweren Unfallereignis im Grenzbereich zu den leichten UnfÃ¤llen auszugehen ist. Die AdÃ¤quanz eines etwaigen natÃ¼rlichen Kausalzusammenhangs wÃ¤re daher zu bejahen, wenn eines der massgebenden AdÃ¤quanzkriterien in besonders ausgeprÃ¤gter Weise oder vier dieser Kriterien in einfacher Form erfÃ¼llt sind (Urteil des Bundesgerichts 8C_897/2009 vom 29. Januar 2010 E. 4.5).</w:t>
      </w:r>
    </w:p>
    <w:p>
      <w:r>
        <w:t>4.2Â Â Â Â  Der Unfall vom 4. Juli 2006 hat sich weder unter besonders dramatischen Begleiterscheinungen ereignet noch war er - objektiv betrachtet - von besonderer EindrÃ¼cklichkeit. Er hatte auch keine schweren Verletzungen oder Verletzungen besonderer Art zur Folge. Die Diagnose eines Schleudertraumas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(Urteil vom 10. Februar 2006, U 79/05). Diese kÃ¶nnen beispielsweise in einer beim Unfall eingenommenen besonderen KÃ¶rperhaltung und den dadurch bewirkten Komplikationen bestehen (RKUV 2003 Nr. U 489 S. 361 E. 4.3). Solche UmstÃ¤nde sind hier nicht gegeben. Das Kriterium der ungewÃ¶hnlich langen Dauer der Ã¤rztlichen Behandlung und das Kriterium einer Ã¤rztlichen Fehlbehandlung kÃ¶nnen ebenfalls ausgeschlossen werden und werden auch nicht geltend gemacht. KÃ¶rperliche Dauerschmerzen sind auf Grund der Akten ausgewiesen, jedoch nicht in ausgeprÃ¤gter Form, da sie nicht objektivierbar sind. Das Kriterium der erheblichen ArbeitsunfÃ¤higkeit trotz ausgewiesener Anstrengungen ist nach der Rechtsprechung des Bundesgerichts dann besonders ausgeprÃ¤gt erfÃ¼llt, wenn die versicherte Person BemÃ¼hungen zur Wiedereingliederung, die eindeutig Ã¼ber das im Normalfall unter dem Titel der ihr obliegenden Schadenminderungspflicht zu erwartende Ausmass hinausgehen, nachzuweisen in der Lage ist (Urteil 8C_987/2008 vom 31. MÃ¤rz 2009, E. 6.7.2). Ein solcher ausserordentlicher Einsatz ist beim BeschwerdefÃ¼hrer nicht zu erkennen, zumal ihm Ã¤rztlicherseits eine 100%ige ArbeitsfÃ¤higkeit in der angestammten TÃ¤tigkeit attestiert wurde. Somit ist weder eines der fÃ¼r die AdÃ¤quanzbeurteilung massgebenden Kriterien in besonders ausgeprÃ¤gter Weise erfÃ¼llt, noch sind mehrere der zu berÃ¼cksichtigenden Kriterien gegeben, weshalb die UnfalladÃ¤quanz der geltend gemachten Beschwerden zu verneinen ist. Somit erweist sich die Leistungseinstellung durch die Beschwerdegegnerin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lic. iur. Karolin Wolfensberger</w:t>
      </w:r>
    </w:p>
    <w:p>
      <w:r>
        <w:t>- FÃ¼rsprecher RenÃ© W. Schleifer</w:t>
      </w:r>
    </w:p>
    <w:p>
      <w:r>
        <w:t>- Bundesamt fÃ¼r Gesundheit</w:t>
      </w:r>
    </w:p>
    <w:p>
      <w:r>
        <w:t>4.Â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