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UV.2010.00264 vom 9. November 2011</w:t>
      </w:r>
    </w:p>
    <w:p>
      <w:r>
        <w:t>ZH Sozialversicherungsgericht, 2011-11-09, DE</w:t>
      </w:r>
    </w:p>
    <w:p>
      <w:r>
        <w:rPr>
          <w:b/>
        </w:rPr>
        <w:t xml:space="preserve">Quelle: </w:t>
      </w:r>
      <w:r>
        <w:t>https://mcp.opencaselaw.ch/entscheid/zh_sozialversicherungsgericht_UV.2010.00264</w:t>
      </w:r>
    </w:p>
    <w:p>
      <w:r>
        <w:t>FR: ZH_SOZIALVERSICHERUNGSGERICHT UV.2010.00264 du 9 novembre 2011</w:t>
      </w:r>
    </w:p>
    <w:p>
      <w:r>
        <w:t>IT: ZH_SOZIALVERSICHERUNGSGERICHT UV.2010.00264 del 9 novembre 2011</w:t>
      </w:r>
    </w:p>
    <w:p>
      <w:pPr>
        <w:pStyle w:val="Heading2"/>
      </w:pPr>
      <w:r>
        <w:t>Erwägungen</w:t>
      </w:r>
    </w:p>
    <w:p>
      <w:r>
        <w:rPr>
          <w:b/>
        </w:rPr>
        <w:t>E. 1</w:t>
      </w:r>
    </w:p>
    <w:p>
      <w:r>
        <w:t>1.1Â Â Â Â  Nach Art. 49 Abs. 2 des Bundesgesetzes Ã¼ber den Allgemeinen Teil des Sozialversicherungsrechts (ATSG) ist dem Begehren um Erlass einer FeststellungsverfÃ¼gung zu entsprechen, wenn die gesuchstellende Person ein schutzwÃ¼rdiges Interesse glaubhaft macht. Zur ZulÃ¤ssigkeit von FeststellungsverfÃ¼gungen Ã¼ber das Beitragsstatut von Versicherten hat das EidgenÃ¶ssische Versicherungsgericht (heute: Bundesgericht) festgehalten, dass eine Ausgleichskasse bei Ablehnung des Gesuchs einer versicherten Person um Anschluss als SelbststÃ¤ndigerwerbender und Eintrag im Register eine einsprachefÃ¤hige VerfÃ¼gung und gegebenenfalls einen beschwerdefÃ¤higen Einspracheentscheid zu erlassen hat (BGE 132 V 257). Diese sind, soweit bekannt, grundsÃ¤tzlich auch dem oder den allenfalls abrechnungs- und beitragszahlungspflichtigen Arbeitgebern zu erÃ¶ffnen (BGE 132 V 264 E. 2.5 mit Hinweisen).</w:t>
      </w:r>
    </w:p>
    <w:p>
      <w:r>
        <w:t>1.2Â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des Bundesgesetzes Ã¼ber die Alters- und Hinterlassenenversicherung, AHVG, sowie Art. 6 ff. der Verordnung Ã¼ber die Alters- und Hinterlassenenversicherung,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161 E. 1, 122 V 169 E. 3a, 283 E. 2a, 119 V 161 E. 2 mit Hinweisen).</w:t>
      </w:r>
    </w:p>
    <w:p>
      <w:r>
        <w:t>1.3Â Â Â Â Â Â Â Â Â  Charakteristische Merkmale einer selbstÃ¤ndigen ErwerbstÃ¤tigkeit sind die TÃ¤tigung erheblicher Investitionen, die BenÃ¼tzung eigener GeschÃ¤ftsrÃ¤umlichkeiten sowie die BeschÃ¤ftigung von eigenem Personal (BGE 119 V 163 E. 3b). Das spezifische Unternehmerrisiko besteht dabei darin, dass unabhÃ¤ngig vom Arbeitserfolg Kosten anfallen, die die Versicherte selber zu tragen hat (ZAK 1986 S. 333 E. 2d und S. 121 E.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 2b).</w:t>
      </w:r>
    </w:p>
    <w:p>
      <w:r>
        <w:t>Â Â Â Â Â Â Â Â  Von unselbstÃ¤ndiger ErwerbstÃ¤tigkeit ist auszugehen, wenn die fÃ¼r den Arbeitsvertrag typischen Merkmale vorliegen, d.h. wenn die Versicherte Dienst auf Zeit zu leisten hat, wirtschaftlich vom "Arbeitgeber"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der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einer Arbeitnehmerin der Fall ist. Die AbhÃ¤ngigkeit der eigenen Existenz vom persÃ¶nlichen Arbeitserfolg ist praxisgemÃ¤ss nur dann als Risiko einer SelbstÃ¤ndigerwerbenden zu werten, wenn betrÃ¤chtliche Investitionen zu tÃ¤tigen oder AngestelltenlÃ¶hne zu bezahlen sind. Mit einem Arbeits- und Lohnausfall mÃ¼ssen alle jene Personen rechnen, die ihre berufliche TÃ¤tigkeit von Fall zu Fall ausÃ¼ben und nicht in einem fest entlÃ¶hnten ArbeitsverhÃ¤ltnis stehen (BGE 119 V 163 E. 3b).</w:t>
      </w:r>
    </w:p>
    <w:p>
      <w:r>
        <w:t>1.4Â Â Â Â  Nach der Rechtsprechung zu Art. 5 Abs. 2 AHVG Ã¼ben Akkordanten beziehungsweise Subunternehmer in der Regel eine unselbststÃ¤ndige ErwerbstÃ¤tigkeit aus. Sie kÃ¶nnen bloss dann als SelbststÃ¤ndigerwerbende betrachtet werden, wenn die Merkmale fÃ¼r freie UnternehmertÃ¤tigkeit klar Ã¼berwiegen und wenn nach den UmstÃ¤nden anzunehmen ist, dass sie dem Akkordvergeber als gleichgeordnete GeschÃ¤ftspartner gegenÃ¼berstehen (Urteil des Bundesgerichts in Sachen Y. AG vom 30. Juni 2006, H 191/05 und U 499/05, E. 2.2.1 mit Hinweisen).</w:t>
      </w:r>
    </w:p>
    <w:p>
      <w:r>
        <w:t>1.5Â Â Â Â  Es ist Sache der SUVA, nÃ¶tigenfalls aufgrund eigener Erhebungen Ã¼ber den Status eines Akkordanten zu befinden, wenn die in Frage stehende TÃ¤tigkeit fÃ¼r resp. in einem ihr unterstellten Betrieb nach Art. 66 UVG ausgeÃ¼bt wird. Der Entscheid des Unfallversicherers oder des UVG-Richters ist fÃ¼r die Ausgleichskasse verbindlich (Urteil des Bundesgerichts in Sachen Y. AG vom 30. Juni 2006, H 191/05 und U 499/05, E. 2.2.2 mit Hinweisen).</w:t>
      </w:r>
    </w:p>
    <w:p>
      <w:r>
        <w:rPr>
          <w:b/>
        </w:rPr>
        <w:t>E. 2</w:t>
      </w:r>
    </w:p>
    <w:p>
      <w:r>
        <w:t>2.1Â Â Â Â  Die Beschwerdegegnerin hat in ihrem Einspracheentscheid vom 31. August 2010 (Urk. 2) erwogen, die Ausgestaltung der Dienstleistungen des BeschwerdefÃ¼hrers gegenÃ¼ber der C.___ weise keine Merkmale auf, die auf eine selbstÃ¤ndige TÃ¤tigkeit hindeuteten. So trete die C.___ gegenÃ¼ber der Kundschaft auf und der BeschwerdefÃ¼hrer fÃ¼hre lediglich die von ihr akquirierten DirektauftrÃ¤ge als Arbeitnehmer aus. Allein der Umstand, dass der BeschwerdefÃ¼hrer der C.___ fÃ¼r die erbrachten Leistungen Rechnung stelle, vermÃ¶ge nichts an seiner Arbeitnehmereigenschaft zu Ã¤ndern. Er trage nÃ¤mlich kein eigentliches Unternehmerrisiko, sondern er stelle lediglich seine Arbeitskraft zur VerfÃ¼gung. Es mÃ¶ge zwar zutreffen, dass er eigene Werkzeuge einsetze. Damit lasse sich aber eine selbstÃ¤ndige ErwerbstÃ¤tigkeit nicht begrÃ¼nden, denn es sei ihm freigestellt, dafÃ¼r eine angemessene VergÃ¼tung zu verlangen, sofern eine solche nicht bereits in den LohnbezÃ¼gen enthalten sei. Der Erwerb eines Personenfahrzeugs und die Miete einer Garage und eines Lagerraums seien keine ins Gewicht fallende Investitionen, selbst dann nicht, wenn der Personenwagen im Zusammenhang mit der ErfÃ¼llung der beruflichen Aufgaben benÃ¶tigt werde. Der BeschwerdefÃ¼hrer habe zwar ein Darlehen aufgenommen, es sei jedoch nicht zu erkennen, ob dies einem erwerblichen Zweck diene. Auch die BeschÃ¤ftigung von drei Gehilfen deute auf keine Betriebsorganisation hin, denn auch Unterakkordanten beziehungsweise Akkordgruppen gÃ¤lten in der Regel als UnselbstÃ¤ndigerwerbende. Es sei durchaus mÃ¶glich, dass der BeschwerdefÃ¼hrer bei der speziellen TÃ¤tigkeit in arbeitsorganisatorischer Hinsicht Ã¼ber vermehrte Kompetenzen und gewisse Freiheiten verfÃ¼ge. Dies Ã¤ndere jedoch nichts an der Arbeitnehmereigenschaft bei TÃ¤tigkeiten fÃ¼r die C.___, denn die anfallenden Arbeiten seien letztlich nach deren Vorstellungen auszufÃ¼hren.</w:t>
      </w:r>
    </w:p>
    <w:p>
      <w:r>
        <w:t>2.2Â Â Â Â Â Â Â Â  Dagegen wendet der BeschwerdefÃ¼hrer in der Beschwerde vom 13. September 2010 (Urk. 1) ein, es sei nicht ersichtlich, weshalb es sich bei den AuftrÃ¤gen der C.___ nicht um DirektauftrÃ¤ge handeln soll. Nur weil diese als Generalunternehmerin auftrete, heisse dies nicht, dass er weisungsgebunden sei. Er habe gegenÃ¼ber der C.___ keine Rechenschaftspflicht, sondern er habe eine Offerte gestellt, womit er in seiner TÃ¤tigkeit und in der Zeit- und Mittelverwendung sowie dem Einsatz seiner Angestellten frei sei. Damit sei er nicht in eine fremde Arbeitsorganisation eingebunden. Zudem verfÃ¼ge er Ã¼ber eigene (gemietete) Maschinen sowie Material und Werkzeuge. Es bestehe ausserdem kein Konkurrenzverbot, und er fÃ¼hre die Arbeiten auf eigenen Namen und auf eigene Rechnung aus. Dass nur ein Auftraggeber vorhanden sei, sei damit zu erklÃ¤ren, dass die AuftrÃ¤ge recht umfangreich seien, welche den BeschwerdefÃ¼hrer und seine Mitarbeiter Ã¼ber einen lÃ¤ngeren Zeitraum auslasteten. Was die Betriebsorganisation betreffe, habe er einen Lagerraum fÃ¼r die Werkzeuge und das Material gemietet. Er benutze sein eigenes Material und gemietete Betriebsmittel, welche nicht vom Auftraggeber zur VerfÃ¼gung gestellt wÃ¼rden. Allerdings sei sein administrativer Aufwand gering (ca. 20 % der GesamttÃ¤tigkeit), so dass er kein BÃ¼ro benÃ¶tige. Er beschÃ¤ftige drei Angestellte, fÃ¼r welche er Versicherungen abgeschlossen habe. Damit trage er ein GeschÃ¤ftsrisiko einerseits, weil er Fr. 25'000.-- investiert habe, und andererseits, weil er die Verantwortung fÃ¼r seine Mitarbeiter trage. Zudem trage er die Haftung fÃ¼r allfÃ¤llige SchÃ¤den.</w:t>
      </w:r>
    </w:p>
    <w:p>
      <w:r>
        <w:rPr>
          <w:b/>
        </w:rPr>
        <w:t>E. 3</w:t>
      </w:r>
    </w:p>
    <w:p>
      <w:r>
        <w:t>3.1Â Â Â Â  Es steht fest, dass der BeschwerdefÃ¼hrer als Inhaber der Einzelfirma "A.___" als Akkordant fÃ¼r die C.___ tÃ¤tig ist. Deren Betrieb ist der Beschwerdegegnerin unterstellt, weshalb sie somit zur AbklÃ¤rung und Festsetzung des sozialversicherungsrechtlichen Status des BeschwerdefÃ¼hrers befugt ist.</w:t>
      </w:r>
    </w:p>
    <w:p>
      <w:r>
        <w:t>3.2Â Â Â Â  Die Rechtsprechung, wonach Akkordanten in der Regel eine unselbstÃ¤ndige ErwerbstÃ¤tigkeit ausÃ¼ben (E. 1.4), bedeutet nicht, dass der Untersuchungsgrundsatz gemÃ¤ss Art. 43 und Art. 61 lit. c ATSG nicht oder nur in abgeschwÃ¤chter Form gilt. Vielmehr hat grundsÃ¤tzlich eine eingehende AbklÃ¤rung der besonderen Gegebenheiten jedes Einzelfalles zu erfolgen (ZAK 1961 S. 167 E. 1). Sodann ist zu beachten, dass grundsÃ¤tzlich jede von mehreren TÃ¤tigkeiten daraufhin zu prÃ¼fen ist, ob sie unselbstÃ¤ndiger oder selbstÃ¤ndiger Natur ist, selbst wenn die Arbeiten fÃ¼r eine und die selbe Firma vorgenommen werden (BGE 122 V 172 E. 3b in fine). Dies relativiert einerseits die Bedeutung erwerblicher AktivitÃ¤ten eines Akkordanten fÃ¼r andere Firmen fÃ¼r die Statusfrage, insbesondere wenn diese verglichen mit der in Frage stehenden TÃ¤tigkeit weniger ins Gewicht fallen. Andererseits kommt der Ausgestaltung des durch die TÃ¤tigkeit bestimmten RechtsverhÃ¤ltnisses zwischen Akkordvergeber und Akkordant (Weisungsbefugnis respektive -gebundenheit, arbeitsorganisatorische AbhÃ¤ngigkeit oder UnabhÃ¤ngigkeit) erhÃ¶htes Gewicht zu. Wichtig sind unter anderen die Art der TÃ¤tigkeit, die (Un-)RegelmÃ¤ssigkeit des Einsatzes, der Umstand, vom Akkordvergeber jeweils kurzfristig zur Arbeitsleistung angefordert zu werden, die allfÃ¤llige Freiheit des Akkordanten, eine vorgeschlagene Arbeit zu Ã¼bernehmen oder abzulehnen, und/oder die Verpflichtung, Arbeitsrapporte zu erstellen. Der Beizug von HilfskrÃ¤ften schliesst unselbstÃ¤ndige ErwerbstÃ¤tigkeit nicht aus. Schliesslich kann auch ein die gegenseitigen Rechte und Pflichten festlegender schriftlicher Vertrag von Bedeutung sein. Bei TÃ¤tigkeiten im Bauhaupt- oder -nebengewerbe im Besonderen ist von Bedeutung, wer gegenÃ¼ber der Bauherrschaft resp. dem EigentÃ¼mer der Bauten fÃ¼r schlecht ausgefÃ¼hrte Arbeiten haftet. Es geht hier um die Frage, ob der Akkordant als dem Akkordvergeber gleichgeordneter GeschÃ¤ftspartner betrachtet werden kann (Zum Ganzen: Urteil des EidgenÃ¶ssischen Versicherungsgerichts in Sachen Y. vom 30. Juni 2006, H191/05, U499/05 E. 4.1 mit Hinweisen).</w:t>
      </w:r>
    </w:p>
    <w:p>
      <w:r>
        <w:t>3.3Â Â Â Â Â Â Â Â  Unterlagen, welche die Beurteilung des vertraglichen VerhÃ¤ltnisses zwischen dem BeschwerdefÃ¼hrer und der C.___ erlaubten, fehlen. In den Akten ist lediglich eine AuftragsbestÃ¤tigung der C.___ vom 25. Februar 2010 (Urk. 10/4/1) zu finden, die indessen nur Ã¼ber die finanzielle Abgeltung des Auftrags und den Zeitraum der Auftragserledigung Aufschluss gibt. Eine vom BeschwerdefÃ¼hrer an die C.___ gestellte Rechnung Ã¼ber einen Pauschalbetrag von Fr. 100'000.-- zuzÃ¼glich Mehrwertsteuer (Urk. 10/14/2) lÃ¤sst vermuten, dass ein Auftrag ausgefÃ¼hrt wurde. Allerdings Ã¼bersteigt der Rechnungsbetrag die in der Offerte zugesicherten AuftrÃ¤ge bei weitem. Weder der AuftragsbestÃ¤tigung noch der Rechnung oder anderweitigen Akten kann entnommen werden, in welchem VerhÃ¤ltnis der BeschwerdefÃ¼hrer zur Akkordvergeberin steht. Insbesondere fehlen Hinweise auf die Art der TÃ¤tigkeiten, ob nach Mai 2010 weitere AuftrÃ¤ge vergeben worden sind, ob vom Akkordvergeber eine kurzfristige Arbeitsleistung angefordert wird oder ob der BeschwerdefÃ¼hrer die Freiheit hat, eine vorgeschlagene Arbeit zu Ã¼bernehmen oder abzulehnen. Ebenso wenig kann den vorhandenen Unterlagen entnommen werden, ob der BeschwerdefÃ¼hrer in einem UnterordnungsverhÃ¤ltnis zur C.___ steht oder als gleichgeordneter GeschÃ¤ftspartner betrachtet werden kann. Allein aus dem Abschluss einer Haftpflichtversicherung (vgl. Urk. 10/14/10) durch den BeschwerdefÃ¼hrer kann nÃ¤mlich nicht geschlossen werden, dass er gegenÃ¼ber der Bauherrschaft fÃ¼r schlecht ausgefÃ¼hrte Arbeiten haftet.</w:t>
      </w:r>
    </w:p>
    <w:p>
      <w:r>
        <w:t>Â Â Â Â Â Â Â Â  Aus dem Umstand, dass dem BeschwerdefÃ¼hrer fÃ¼r den Zeitraum von vier Monaten (Februar bis Mai; vgl. Urk. 10/4/1) von der C.___ Arbeiten im Betrag von Fr. 89'000.-- vergeben worden sind, muss gefolgert werden, dass der BeschwerdefÃ¼hrer zur Erledigung der Arbeiten Drittpersonen beigezogen hat. Der Beizug von sogenannten Unterakkordanten allein lÃ¤sst indessen nicht auf eine selbstÃ¤ndige ErwerbestÃ¤tigkeit schliessen (vgl. oben E. 3.2). Immerhin aber stellt die Anstellung von Personal, welches auch bezahlt werden muss, wenn keine AuftrÃ¤ge zu erledigen sind, ein gewisses Unternehmerrisiko und damit ein Indiz fÃ¼r selbstÃ¤ndige ErwerbstÃ¤tigkeit dar. Allerdings sind in den Akten keine ArbeitsvertrÃ¤ge zu finden, und aus der Tatsache allein, dass der BeschwerdefÃ¼hrer sich mit seiner Einzelfirma der AXA Stiftung Berufliche Vorsorge Winterthur angeschlossen und drei Mitarbeiter vorsorgeversichert hat (vgl. Urk. 10/14/6-8), kann nicht geschlossen werden, dass er auch LÃ¶hne zu entrichten hat, wenn keine AuftrÃ¤ge auszufÃ¼hren sind. Ebenso wenig lassen die Flottenmanagement-Vereinbarung des BeschwerdefÃ¼hrers mit der D.___ vom 15. Februar 2010 (Urk. 10/14/16) und die Miete eines Archivraums sowie einer Garage (vgl. Urk. 10/14/13-14) oder das Leasing eines Personenwagens, welcher im Ãbrigen auch fÃ¼r private Zwecke benutzt werden kann (vgl. Urk. 10/14/15), auf grosse Investitionen schliessen. Hinweise, ob der BeschwerdefÃ¼hrer das Material zur Auftragserledigung zur VerfÃ¼gung stellen muss, fehlen gÃ¤nzlich. Zu Recht wendet die Beschwerdegegnerin ein, dass aus den DarlehensvertrÃ¤gen (vgl. Urk. 10/14/3-5) nicht hervorgeht, zu welchem Zweck die Darlehen aufgenommen worden sind.</w:t>
      </w:r>
    </w:p>
    <w:p>
      <w:r>
        <w:t>3.4Â Â Â Â  Auch die mit Replik eingereichten BestÃ¤tigungen der E.___ (Urk. 14/17), wonach der BeschwerdefÃ¼hrer mit der F.___ zusammengearbeitet haben soll, lÃ¤sst in Bezug auf die TÃ¤tigkeit fÃ¼r die C.___ den Schluss auf selbstÃ¤ndige ErwerbstÃ¤tigkeit nicht zu, denn der BestÃ¤tigung kann einerseits nicht entnommen werden, welche TÃ¤tigkeiten in welcher Form vom BeschwerdefÃ¼hrer ausgeÃ¼bt worden sind, und andererseits ist jede von mehreren TÃ¤tigkeiten daraufhin zu prÃ¼fen, ob sie unselbststÃ¤ndiger oder selbststÃ¤ndiger Natur ist (vgl. oben E. 3.2).</w:t>
      </w:r>
    </w:p>
    <w:p>
      <w:r>
        <w:t>3.5Â Â Â Â Â Â Â Â  Insgesamt erweist sich die Sache als nicht spruchreif. Insbesondere lassen die Akten nicht den Schluss zu, der BeschwerdefÃ¼hrer sei in Bezug auf die TÃ¤tigkeit fÃ¼r die NTS Elektrotechnik AG UnselbstÃ¤ndigerwerbender. Die Sache ist daher an die Beschwerdegegnerin zurÃ¼ckzuweisen, damit sie ergÃ¤nzende AbklÃ¤rungen vornehme und hernach Ã¼ber das Beitragsstatut des BeschwerdefÃ¼hrers neu entscheide.</w:t>
      </w:r>
    </w:p>
    <w:p>
      <w:r>
        <w:t>4.Â Â Â Â Â Â Â Â  AusgangsgemÃ¤ss hat der BeschwerdefÃ¼hrer Anspruch auf eine ProzessentschÃ¤digung (Art. 61 lit. g ATSG). Die EntschÃ¤digung wird unabhÃ¤ngig vom Streitwert nach der Bedeutung der Streitsache und nach der Schwierigkeit des Prozesses bemessen (Â§ 34 des Gesetzes Ã¼ber die sozialversicherungsgerichtlichen GebÃ¼hren, Kosten und EntschÃ¤digungen). Vorliegend erscheint eine ProzessentschÃ¤digung von Fr. 1'100.-- (inklusive Barauslagen und Mehrwertsteuer) als angemessen.</w:t>
      </w:r>
    </w:p>
    <w:p>
      <w:r>
        <w:t>Das Gericht erkennt:</w:t>
      </w:r>
    </w:p>
    <w:p>
      <w:r>
        <w:t>1.Â Â Â Â Â Â Â Â  Die Beschwerde wird in dem Sinne gutgeheissen, dass der Einspracheentscheid vom 31. August 2010 aufgehoben und die Sache an die Beschwerdegegnerin zurÃ¼ckgewiesen wird, damit sie nach ergÃ¤nzenden AbklÃ¤rungen im Sinne der ErwÃ¤gungen Ã¼ber das Beitragstatut des BeschwerdefÃ¼hrers neu entscheide.</w:t>
      </w:r>
    </w:p>
    <w:p>
      <w:r>
        <w:t>2.Â Â Â Â Â Â Â Â  Das Verfahren ist kostenlos.</w:t>
      </w:r>
    </w:p>
    <w:p>
      <w:r>
        <w:t>3.Â Â Â Â Â Â Â Â  Die Beschwerdegegnerin wird verpflichtet, dem BeschwerdefÃ¼hrer eine ProzessentschÃ¤digung von Fr. 1'100.-- (inkl. Barauslagen und MWSt) zu bezahlen.</w:t>
      </w:r>
    </w:p>
    <w:p>
      <w:r>
        <w:t>4.Â Â Â Â Â Â Â Â Â Â  Zustellung gegen Empfangsschein an:</w:t>
      </w:r>
    </w:p>
    <w:p>
      <w:r>
        <w:t>- AXA-ARAG Rechtsschutz AG unter Beilage einer Kopie von Urk. 22</w:t>
      </w:r>
    </w:p>
    <w:p>
      <w:r>
        <w:t>- Schweizerische Unfallversicherungsanstalt unter Beilage einer Kopie von Urk. 22</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