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UV.2010.00106 vom 28. Oktober 2011</w:t>
      </w:r>
    </w:p>
    <w:p>
      <w:r>
        <w:t>ZH Sozialversicherungsgericht, 2011-10-28, DE</w:t>
      </w:r>
    </w:p>
    <w:p>
      <w:r>
        <w:rPr>
          <w:b/>
        </w:rPr>
        <w:t xml:space="preserve">Quelle: </w:t>
      </w:r>
      <w:r>
        <w:t>https://mcp.opencaselaw.ch/entscheid/zh_sozialversicherungsgericht_UV.2010.00106</w:t>
      </w:r>
    </w:p>
    <w:p>
      <w:r>
        <w:t>FR: ZH_SOZIALVERSICHERUNGSGERICHT UV.2010.00106 du 28 octobre 2011</w:t>
      </w:r>
    </w:p>
    <w:p>
      <w:r>
        <w:t>IT: ZH_SOZIALVERSICHERUNGSGERICHT UV.2010.00106 del 28 ottobre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Mit der Festsetzung einer Invalidenrente (Art. 19 Abs. 1 UVG) oder, falls kein Rentenanspruch besteht, bei der Beendigung der Ã¤rztlichen Behandlung ist eine angemessene IntegritÃ¤tsentschÃ¤digung festzulegen, sofern die versicherte Person durch den Unfall eine dauernde erhebliche SchÃ¤digung der kÃ¶rperlichen, geistigen oder psychischen IntegritÃ¤t erlitten hat (Art. 24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Anhangs 3.</w:t>
      </w:r>
    </w:p>
    <w:p>
      <w:r>
        <w:t>Im Anhang 3 zur UVV hat der Bundesrat Richtlinien fÃ¼r die Bemessung der IntegritÃ¤tsschÃ¤den aufgestellt und in einer als gesetzmÃ¤ssig erkannten, nicht abschliessenden Skala (BGE 124 V 29 E. 1b mit Hinweisen) wichtige und typische SchÃ¤den prozentual gewichtet (RKUV 2004 Nr. U 514 S. 416).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Sie sind jedoch mit dem Anhang 3 zur UVV vereinbar, soweit als sie lediglich Richtwerte enthalten, mit denen die Gleichbehandlung aller Versicherten gewÃ¤hrleistet werden soll (BGE 124 V 29 E. 1c, 116 V 156 E. 3a).</w:t>
      </w:r>
    </w:p>
    <w:p>
      <w:r>
        <w:t>2.Â Â Â Â Â Â</w:t>
      </w:r>
    </w:p>
    <w:p>
      <w:r>
        <w:t>2.1Â Â Â Â Â Â Â Â  Anfechtungs- und Streitgegenstand bildet einzig die HÃ¶he der zugesprochenen IntegritÃ¤tsentschÃ¤digung von 20 % (Urk. 1 S. 2, Urk. 2 S. 3).</w:t>
      </w:r>
    </w:p>
    <w:p>
      <w:r>
        <w:t>2.2Â Â Â Â  Die Beschwerdegegnerin stÃ¼tzte sich bei ihrem Entscheid auf die EinschÃ¤tzung von Prof. Dr. med. B.___, Facharzt fÃ¼r orthopÃ¤dische Chirurgie und Traumatologie, spez. Fusschirurgie, vom 14. Dezember 2009 (Bericht vom 15. Dezember 2009). Dieser bestimmte die IntegritÃ¤tsentschÃ¤digung von 20 % aufgrund des Status nach subtalar Arthrodese bei bestehender OSG-Arthrose am rechten Fuss mit Blick auf die SUVA-Tabelle Nr. 5.2 und unter BerÃ¼cksichtigung einer kÃ¼nftigen Arthrosezunahme im OSG-Bereich, welche zu einem spÃ¤teren Zeitpunkt ebenfalls zu einer Arthrodese fÃ¼hren werde. Die Verletzung am linken Fuss sei gut verheilt. Es gebe hier keine Hinweise auf eine arthrotische VerÃ¤nderung. Die Wahrscheinlichkeit einer Arthroseentwicklung sei auch in Zukunft gering, weshalb diesbezÃ¼glich keine IntegritÃ¤tsentschÃ¤digung geschuldet sei (Urk. 7/ZM45). Zu derselben EinschÃ¤tzung war auch der beratende Arzt der BeschwerdefÃ¼hrerin, Dr. med. C.___, gemÃ¤ss der Stellungnahme vom 14. Juni 2009 gekommen. Er hatte ausserdem ausgefÃ¼hrt, dass davon auszugehen sei, dass eine zweite Arthrodese in absehbarer Zeit nÃ¶tig werde, wobei eventuell auch eine Prothese in Frage komme, was an der HÃ¶he der IntegritÃ¤tsentschÃ¤digung indes nichts Ã¤ndere (Urk. 7/ZM44).</w:t>
      </w:r>
    </w:p>
    <w:p>
      <w:r>
        <w:t>2.3Â Â Â Â  Die EinschÃ¤tzungen von Prof. Dr. B.___ und Dr. C.___ sind nachvollziehbar, was von der BeschwerdefÃ¼hrerin zu Recht nicht in Abrede gestellt wird, und Ã¼berzeugen sowohl hinsichtlich der Ã¼brigen Aktenlage als auch im Hinblick auf Anhang 3 zur UVV und der SUVA-Tabellen.</w:t>
      </w:r>
    </w:p>
    <w:p>
      <w:r>
        <w:t>Â Â Â Â Â Â Â Â  Die tibiale Fraktur am linken Fuss ist nach der Osteosynthese vom 26. Mai 2006 ohne degenerative Anzeichen abgeheilt (Bericht des Spitals Y.___ vom 10. Januar 2007, Urk. 7/ZM9; Bericht der D.___ vom 12. April 2007, Urk. 7/ZM16 S. 2) und es wurden diesbezÃ¼glich keine Befunde mehr erhoben (Austrittsbericht der E.___ vom 10. April 2007, Urk. 7/ZM15 S. 4 f.). Mit der Beschwerdegegnerin ist daher ohne Weiteres davon auszugehen, dass in Bezug auf den linken Fuss keine IntegritÃ¤tsentschÃ¤digung geschuldet ist.</w:t>
      </w:r>
    </w:p>
    <w:p>
      <w:r>
        <w:t>Â Â Â Â Â Â Â Â  Beim rechten Fuss wurden nach der ersten Operation der Talus-Luxationsfraktur vom Typ Hawkins III vom 26. Mai 2006 mit offener Reposition und Osteosynthese des Talus und des Malleolus medialis (Urk. 7/ZM2, Urk. 7/ZM) bei schwierigem Heilungsverlauf, Varusfehlstellung des rechten RÃ¼ckfusses und beginnender Arthrose des OSG (Urk. 7/ZM9, Urk. 7/ZM11, Urk. 7/ZM15 S. 5, Urk. 7/ZM16 S. 2 f.) am 25. Februar 2008 eine stellungskorrigierende Arthrodese subtalar, eine AchillessehnenverlÃ¤ngerung und eine Arthrolyse subtalar und beim OSG durchgefÃ¼hrt (Urk. 7/ZM29). Damit konnte gemÃ¤ss dem Eintrag vom 20. Mai 2008 im Bericht von Dr. med. F.___, Facharzt fÃ¼r OrthopÃ¤dische Chirurgie am Hirslanden Salem-Spital, eine deutliche Besserung der Beschwerden erreicht werden (Urk. 7/ZM35). Ein Jahr nach der (zweiten) Operation vom 25. Februar 2008 fanden sich gemÃ¤ss dem Bericht von Dr. F.___ vom 4. Februar 2009 ein Bewegungsdefizit insbesondere der dorsalen Extension und belastungsabhÃ¤ngige Beschwerden. Mit einer adÃ¤quaten Schuh- und Einlageversorgung bestehe jetzt eine recht gute GehfÃ¤higkeit. Die noch geklagten Schmerzen bei Belastung und bei grÃ¶sseren Gehstrecken seien bedingt durch die OSG-Arthrose, welche schon recht fortgeschritten sei. Der nÃ¤chste OSG-Eingriff solle mÃ¶glichst lange hinausgezÃ¶gert werden. Dann mÃ¼sse Ã¼ber die Protheseimplantation oder Arthrodese diskutiert werden (Urk. 7/ZM43).</w:t>
      </w:r>
    </w:p>
    <w:p>
      <w:r>
        <w:t>Â Â Â Â Â Â Â Â  Diesen medizinischen Sachverhalt berÃ¼cksichtigten Prof. Dr. B.___ und Dr. C.___ eingedenk der zukÃ¼nftigen Entwicklung der Arthrose mit wahrscheinlicher zukÃ¼nftig nÃ¶tiger Arthrodese am OSG und einer mÃ¶glichen Prothesenimplantation. Sie trugen damit entgegen der Ansicht der BeschwerdefÃ¼hrerin der dauernden SchÃ¤digung am rechten Fuss mit 20 % hinlÃ¤nglich Rechnung, zumal gemÃ¤ss der SUVA-Tabelle 2 eine subtalare Arthrodese respektive gemÃ¤ss der SUVA-Tabelle 5 eine Gelenksresektion oder Arthrodese je mit 15 % abgegolten werden. Auch ist die Anwendung dieses Feinrasters angesichts der geltenden hÃ¶chstrichterlichen Rechtsprechung (BGE 124 V 29 E. 1c, 116 V 156 E. 3a) nicht zu beanstanden. Das Gesetz will in der Unfallversicherung IntegritÃ¤tsschÃ¤den im Ãbrigen nicht nur als solche - nach Massgabe des im Einzelfall erhobenen medizinischen Befundes - egalitÃ¤r-abstrakt (BGE 113 V 221 E. 4b), sondern auch im Quervergleich zu anderen SchÃ¤digungen, wie sie Anhang 3 zur UVV tarifiert, unter BerÃ¼cksichtigung von deren Bewertung durch den Verordnungsgeber angemessen entschÃ¤digen (Urteil des EidgenÃ¶ssischen Versicherungsgerichts U 133/06 vom 11. Januar 2007 E. 4.1). Auch insofern ist eine EntschÃ¤digung von 20 % angemessen, wie der Vergleich mit der in Anhang 3 zur UVV vorgesehenen EntschÃ¤digung von 30 % fÃ¼r den Verlust eines Fusses zeigt, zumal hier keine vollstÃ¤ndige GebrauchsunfÃ¤higkeit des rechten Fusses besteht und eine solche auch nicht absehbar ist (vgl. zur BerÃ¼cksichtigung einer Verschlimmerung der SchÃ¤digung bei prognostischer Wahrscheinlichkeit, nicht jedoch bei blosser MÃ¶glichkeit: RKUV 1991 Nr. U 132 S. 308 f.; Urteil des EidgenÃ¶ssischen Versicherungsgericht U 362/00 vom 11. November 2003 E. 4.2).</w:t>
      </w:r>
    </w:p>
    <w:p>
      <w:r>
        <w:t>2.4Â Â Â Â  Die RÃ¼gen der BeschwerdefÃ¼hrerin (Urk. 1 S. 4 ff., Urk. 11 S. 3 ff.) gehen vor dem Hintergrund dieser Sach- und Rechtslage fehl, wie die Beschwerdegegnerin zutreffend erkannte (Urk. 2 S. 3, Urk. 6 S. 1 f.). So ist insbesondere die von der BeschwerdefÃ¼hrerin verschiedentlich (namentlich betreffend Alter, Karriere, Arbeitsweg, Freizeitgestaltung, psychische und physische Auswirkungen, Heilungsverlauf etc.) geforderte individuelle Betrachtungsweise bei der Bemessung der IntegritÃ¤tsentschÃ¤digung nur im Rahmen des medizinischen Befundes und bezogen auf die SchÃ¤digung selbst zulÃ¤ssig. Sie muss vor allem unabhÃ¤ngig von den individuellen Auswirkungen der SchÃ¤digung erfolgen (Urteil des EidgenÃ¶ssischen Versicherungsgerichts U 61/06 vom 19. September 2006 E. 4 mit Hinweisen). Zwar trifft es zu, dass auch die IntegritÃ¤tsentschÃ¤digung der Unfallversicherung den Ausgleich immaterieller Unbill bezweckt (BGE 133 V224 E. 5.1). Dies bedingt jedoch nicht zwingend eine EntschÃ¤digungsbemessung wie sie bei der privatrechtlichen Genugtuung vorgenommen wird, mit welcher der immaterielle Nachteil individuell unter WÃ¼rdigung der besonderen UmstÃ¤nde bemessen wird.</w:t>
      </w:r>
    </w:p>
    <w:p>
      <w:r>
        <w:t>Â Â Â Â Â Â Â Â  Die IntegritÃ¤tsentschÃ¤digung der Unfallversicherung unterscheidet sich gerade darin von der privatrechtlichen Genugtuung. Denn im Gegensatz zur Bemessung der Genugtuungssumme im Zivilrecht lassen sich Ã¤hnliche Unfallfolgen miteinander vergleichen und auf medizinischer Grundlage allgemeingÃ¼ltige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Des Weiteren erfolgt rechtsprechungsgemÃ¤ss keine Abgeltung der physischen oder psychischen Leiden der versicherten Person wÃ¤hrend der Behandlung (BGE 133 V 224 E. 5.1, 115 V 147 E. 1 mit Hinweisen; Urteil des Bundesgerichts 8C_62/2010 vom 2. Juni 2010 E. 3.1). Auch dieser Einwand der BeschwerdefÃ¼hrerin (Urk. 1 S. 5, Urk. 11 S. 5) vermag die RechtmÃ¤ssigkeit des angefochtenen Einspracheentscheides vom 10. MÃ¤rz 2010 (Urk. 2) nicht in Zweifel zu ziehen.</w:t>
      </w:r>
    </w:p>
    <w:p>
      <w:r>
        <w:t>2.5Â Â Â Â  Die Beschwerde ist nach dem Gesagten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Hugo Waibel-Knaus</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