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UV.2010.00045 vom 21. Januar 2011</w:t>
      </w:r>
    </w:p>
    <w:p>
      <w:r>
        <w:t>ZH Sozialversicherungsgericht, 2011-01-21, DE</w:t>
      </w:r>
    </w:p>
    <w:p>
      <w:r>
        <w:rPr>
          <w:b/>
        </w:rPr>
        <w:t xml:space="preserve">Quelle: </w:t>
      </w:r>
      <w:r>
        <w:t>https://mcp.opencaselaw.ch/entscheid/zh_sozialversicherungsgericht_UV.2010.00045</w:t>
      </w:r>
    </w:p>
    <w:p>
      <w:r>
        <w:t>FR: ZH_SOZIALVERSICHERUNGSGERICHT UV.2010.00045 du 21 janvier 2011</w:t>
      </w:r>
    </w:p>
    <w:p>
      <w:r>
        <w:t>IT: ZH_SOZIALVERSICHERUNGSGERICHT UV.2010.00045 del 21 gennaio 2011</w:t>
      </w:r>
    </w:p>
    <w:p>
      <w:pPr>
        <w:pStyle w:val="Heading2"/>
      </w:pPr>
      <w:r>
        <w:t>Erwägungen</w:t>
      </w:r>
    </w:p>
    <w:p>
      <w:r>
        <w:rPr>
          <w:b/>
        </w:rPr>
        <w:t>E. 4</w:t>
      </w:r>
    </w:p>
    <w:p>
      <w:r>
        <w:t>4.1Â Â Â Â  Die AdÃ¤quanzbeurteilung hat vorliegend nach der sogenannten Schleudertrauma-Praxis zu erfolgen (Erw. 1.3.2). Hierbei ist zunÃ¤chst zu bestimmen, ob der von der BeschwerdefÃ¼hrerin am 2. Oktober 2003 erlittene Unfall als leicht oder als schwer zu betrachten ist oder ob er dem mittleren Bereich angehÃ¶rt. GemÃ¤ss dem von der Beschwerdegegnerin in Auftrag gegebenen Unfallanalytischen Gutachten vom 16. Juli 2004 lag die kollisionsbedingte GeschwindigkeitsÃ¤nderung des Fahrzeugs der BeschwerdefÃ¼hrerin zwischen 10,5 und 14,7 km/h, beziehungsweise beim zweiten Anstoss mit dem vorderen Wagen zwischen 4,8 und 7,4 km/h (Urk. 9/UAG/1). Nach der Rechtsprechung des Bundesgerichts ist der Unfall der BeschwerdefÃ¼hrerin somit im mittelschweren Bereich im Grenzbereich zu den leichten UnfÃ¤llen einzuordnen (Urteil des Bundesgerichts vom 9. Juni 2010 in Sachen E., 8C_95/2010, Erw. 3.1, mit weiteren Hinweisen).</w:t>
      </w:r>
    </w:p>
    <w:p>
      <w:r>
        <w:t>4.2Â Â Â Â</w:t>
      </w:r>
    </w:p>
    <w:p>
      <w:r>
        <w:t>4.2.1Â Â  Von den weiteren massgeblichen Kriterien (Erw. 1.3.2) mÃ¼ssten bei der hier gegebenen Unfallschwere fÃ¼r eine Bejahung des adÃ¤quaten Kausalzusammenhangs entweder ein einzelnes in besonders ausgeprÃ¤gter Weise oder aber mehrere in gehÃ¤ufter oder auffallender Weise gegeben sein (Urteil des Bundesgerichts vom 9. Juni 2010 in Sachen E., 8C_95/2010, Erw. 3.2, mit Hinweisen).</w:t>
      </w:r>
    </w:p>
    <w:p>
      <w:r>
        <w:t>4.2.2Â Â Â Â Â Â Â Â  DiesbezÃ¼glich ist festzuhalten, dass die vier Kriterien Âbesonders dramatische BegleitumstÃ¤nde oder besondere EindrÃ¼cklichkeit des UnfallsÂ, ÂÃ¤rztliche Fehlbehandlung, welche die Unfallfolgen erheblich verschlimmert hatÂ, Âschwieriger Heilungsverlauf und erhebliche KomplikationenÂ, Âschwere oder besondere Art der erlittenen VerletzungenÂ und Âfortgesetzt spezifische, belastende Ã¤rztliche BehandlungÂ rechtsprechungsgemÃ¤ss klar nicht vorliegen, und von der BeschwerdefÃ¼hrerin zu Recht auch nicht geltend gemacht werden.</w:t>
      </w:r>
    </w:p>
    <w:p>
      <w:r>
        <w:t>4.2.3Â Â  Die BeschwerdefÃ¼hrerin bringt vor, sie habe von Anfang an auch Schwindelbeschwerden geltend gemacht (Urk. 1 S. 2). Den medizinischen Akten lÃ¤sst sich denn auch entnehmen, dass sie seit dem Unfallereignis konstant Ã¼ber in gewissen Situationen auftretenden Schwindel geklagt hat (Urk. 9/M3, 9/M11 S. 7, vgl. auch 9/M19 S. 2, 9/M22 S. 1) und diesbezÃ¼glich auch schon mehrmals fachÃ¤rztlich abgeklÃ¤rt wurde (vgl. namentlich Urk. 9/M19, 9/M21 und 9/M22). Die BeschwerdefÃ¼hrerin gab bei der Begutachtung im Spital Y.___ zwar an, sie sei als Sportlehrerin in ihrer Leistung reduziert und bei Drehbewegungen komme es zu Schwindel und Ãbelkeit, sie fÃ¼hrte aber auch aus, dass sie ihren Arbeitsweg mit dem Fahrrad zurÃ¼cklege (5 bzw. 15 Minuten pro Wegstrecke, Urk. 9/M11 S. 5), zudem gehe sie gerne Ã¶fter wandern, und in den Urlaub sei sie mit ihrem Auto 800 km nach SÃ¼dfrankreich gefahren, dies in zwei Etappen (Urk. 9/M11 S. 5). Aufgrund der Aktenlage kann somit das Kriterium Âerhebliche BeschwerdenÂ aufgrund der glaubhaften Schwindelbeschwerden insgesamt als erfÃ¼llt angesehen werden, jedoch nicht in auffallender und besonders ausgeprÃ¤gter Weise.</w:t>
      </w:r>
    </w:p>
    <w:p>
      <w:r>
        <w:t>4.2.4Â Â Â Â Â Â Â Â  BezÃ¼glich des Kriteriums einer Âerheblichen ArbeitsunfÃ¤higkeit trotz ausgewiesenen AnstrengungenÂ ist dem Umstand Rechnung zu tragen, dass bei einem leichten bis mittelschweren Schleudertrauma der HWS ein lÃ¤nger oder gar dauernder Ausstieg aus dem Arbeitsprozess vom medizinischen Standpunkt aus als eher ungewÃ¶hnlich erscheint. Nicht die Dauer der ArbeitsunfÃ¤higkeit ist daher massgebend, sondern eine erhebliche ArbeitsunfÃ¤higkeit als solche, die zu Ã¼berwinden die versicherte Person ernsthafte Anstrengungen unternimmt. Darin liegt der Anreiz fÃ¼r die versicherte Person, alles daran zu setzen, wieder ganz oder teilweise arbeitsfÃ¤hig zu werden. Gelingt es ihr trotz solcher Anstrengungen nicht, ist ihr dies durch ErfÃ¼llung des Kriteriums anzurechnen. Konkret muss ihr Wille erkennbar sein, sich durch aktive Mitwirkung raschmÃ¶glichst wieder optimal in den Arbeitsprozess einzugliedern, was schon der allgemeine sozialversicherungsrechtliche Grundsatz der Schadensminderungspflicht gebietet. Solche Anstrengungen der versicherten Personen kÃ¶nnen sich insbesondere in ernsthaften Arbeitsversuchen trotz allfÃ¤lliger persÃ¶nlicher Unannehmlichkeiten manifestieren. Dabei ist auch der persÃ¶nliche Einsatz im Rahmen von medizinischen Therapiemassnahmen zu berÃ¼cksichtigen. Sodann kÃ¶nnen BemÃ¼hungen um alternative, der gesundheitlichen EinschrÃ¤nkung besser Rechnung tragende TÃ¤tigkeiten ins Gewicht fallen. Nur wer in der Zeit bis zum Fallabschluss nach Art. 19 Abs. 1 UVG in erheblichem Masse arbeitsunfÃ¤hig ist und solche Anstrengungen vorzuweisen vermag, kann das Kriterium erfÃ¼llen (Urteil des Bundesgerichtes vom 31. MÃ¤rz 2009 in Sachen T., 8C_987/2008, Erw. 6.7.1 mit Hinweis auf BGE 134 V 129 f. Erw. 10.2.7). Dr. E.___ erklÃ¤rte die BeschwerdefÃ¼hrerin ab dem 2. Oktober 2003 vorerst zu 100 % und ab 14. November 2003 zu 50 % arbeitsunfÃ¤hig (Urk. 9/M1). Dem Gutachten des Spitals Y.___ vom 18. November 2004 ist demgegenÃ¼ber zu entnehmen, dass sich klinisch keine Behinderungen oder AktivierungseinschrÃ¤nkungen mehr dokumentieren liessen und aus medizinischer Sicht die ArbeitsfÃ¤higkeit der BeschwerdefÃ¼hrerin als Sportlehrerin innert der nÃ¤chsten zwei Monate auf 100 % gesteigert werden kÃ¶nne (Urk. 9/M11 S. 15). Die BeschwerdefÃ¼hrerin war nach dem Unfall in eingeschrÃ¤nktem Umfang (50 %) wieder als Sportlehrerin tÃ¤tig (Urk. 9/M11 S. 5). Sie fÃ¼hlte sich nach dem Unfall zu keinem Zeitpunkt in der Lage, ein volles Pensum wie vor dem Unfall zu erbringen, und nahm mit UnterstÃ¼tzung durch die Invalidenversicherung, eine Umschulung zur ErnÃ¤hrungsberaterin vor (vgl. Urk. 9/86 S. 7). Ihr ist somit zugute zu halten, dass sie nach dem Unfall ihre bisherige TÃ¤tigkeit in reduziertem Umfang wieder aufnahm und sich beruflichen Massnahmen der Invalidenversicherung unterzog. Das Kriterium Âerhebliche ArbeitsunfÃ¤higkeit trotz ausgewiesenen AnstrengungenÂ kann daher als erfÃ¼llt angesehen werden, jedoch nicht in auffallender oder besonders ausgeprÃ¤gter Form (Urteil des Bundesgerichts vom 20. April 2009 in Sachen H., 8C_928/2008, Erw. 4.6, mit Hinweisen).</w:t>
      </w:r>
    </w:p>
    <w:p>
      <w:r>
        <w:t>4.2.5Â Â Â Â Â Â Â Â  Zusammenfassend ergibt sich somit, dass von den sieben relevanten Kriterien zwei erfÃ¼llt sind, keines davon jedoch in ausgeprÃ¤gter Weise. Zur Bejahung der AdÃ¤quanz allfÃ¤lliger noch vorhandener unfallbedingter Beschwerden genÃ¼gt dies bei einem mittelschweren Unfall im Grenzbereich zu den leichten Ereignissen nicht. Nach dem Gesagten hat die Beschwerdegegnerin ihre Leistungen zu Recht per 1. November 2005 eingestellt, was zur Abweisung der Beschwerde fÃ¼hrt.</w:t>
      </w:r>
    </w:p>
    <w:p>
      <w:r>
        <w:t>5.Â Â Â Â Â Â  Nach der Rechtsprechung des Bundesgerichts rechtfertigt es sich, die von der versicherten Person veranlasste Untersuchung einer vom Versicherer angeordneten Begutachtung gleichzustellen und diesem die entsprechenden Kosten aufzuerlegen, wenn sich der medizinische Sachverhalt erst aufgrund der von der versicherten Person beigebrachten Untersuchungsergebnissen schlÃ¼ssig feststellen lÃ¤sst (Urteil des EidgenÃ¶ssischen Versicherungsgericht vom 22. Dezember 2004 in Sachen J., U 143/04, Erw. 6.1 mit Hinweisen). Ferner sind die Kosten fÃ¼r ein im Beschwerdeverfahren eingereichtes Privatgutachten der obsiegenden Partei zu ersetzen, soweit diese im Hinblick auf die Interessenwahrung erforderlich respektive geboten waren (ZÃ¼nd/Pfiffner Rauber, Gesetz Ã¼ber das Sozialversicherungsgericht des Kantons ZÃ¼rich, 2. A., S. 342 Rz 11). Vor diesem Hintergrund hat die Beschwerdegegnerin der BeschwerdefÃ¼hrerin die Kosten fÃ¼r die Stellungnahme von Dr. A.___ vom 1. Februar 2010 im Umfang von Fr. 98.-- (Urk. 3/1 und 2) nicht zu ersetzen, da dieser Bericht in keiner Weise zur KlÃ¤rung des medizinischen Sachverhalts beigetragen hat.</w:t>
      </w:r>
    </w:p>
    <w:p>
      <w:r>
        <w:t>Das Gericht erkennt:</w:t>
      </w:r>
    </w:p>
    <w:p>
      <w:r>
        <w:t>1.Â Â Â Â Â Â Â Â  Die Beschwerde wird abgewiesen.</w:t>
      </w:r>
    </w:p>
    <w:p>
      <w:r>
        <w:t>2.Â Â Â Â Â Â Â Â  Das Verfahren ist kostenlos.</w:t>
      </w:r>
    </w:p>
    <w:p>
      <w:r>
        <w:t>3.Â Â Â Â Â Â Â Â Â Â  Zustellung gegen Empfangsschein an:</w:t>
      </w:r>
    </w:p>
    <w:p>
      <w:r>
        <w:t>- Rechtsanwalt Michael Ausfeld</w:t>
      </w:r>
    </w:p>
    <w:p>
      <w:r>
        <w:t>- FÃ¼rsprecher Martin BÃ¼rkle, unter Beilage des Doppels von Urk. 15</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