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UV.2009.00374 vom 10. Dezember 2010</w:t>
      </w:r>
    </w:p>
    <w:p>
      <w:r>
        <w:t>ZH Sozialversicherungsgericht, 2010-12-10, DE</w:t>
      </w:r>
    </w:p>
    <w:p>
      <w:r>
        <w:rPr>
          <w:b/>
        </w:rPr>
        <w:t xml:space="preserve">Quelle: </w:t>
      </w:r>
      <w:r>
        <w:t>https://mcp.opencaselaw.ch/entscheid/zh_sozialversicherungsgericht_UV.2009.00374</w:t>
      </w:r>
    </w:p>
    <w:p>
      <w:r>
        <w:t>FR: ZH_SOZIALVERSICHERUNGSGERICHT UV.2009.00374 du 10 décembre 2010</w:t>
      </w:r>
    </w:p>
    <w:p>
      <w:r>
        <w:t>IT: ZH_SOZIALVERSICHERUNGSGERICHT UV.2009.00374 del 10 dicembre 2010</w:t>
      </w:r>
    </w:p>
    <w:p>
      <w:pPr>
        <w:pStyle w:val="Heading2"/>
      </w:pPr>
      <w:r>
        <w:t>Erwägungen</w:t>
      </w:r>
    </w:p>
    <w:p>
      <w:r>
        <w:rPr>
          <w:b/>
        </w:rPr>
        <w:t>E. 2</w:t>
      </w:r>
    </w:p>
    <w:p>
      <w:r>
        <w:t>Â Â Â Â Â  Vorliegend ist strittig, ob der BeschwerdefÃ¼hrer den Betrag in der HÃ¶he von Fr. 45'555.10 infolge ÃberentschÃ¤digung der Beschwerdegegnerin zurÃ¼ckzuerstatten hat.</w:t>
      </w:r>
    </w:p>
    <w:p>
      <w:r>
        <w:t>3.Â Â Â Â Â Â</w:t>
      </w:r>
    </w:p>
    <w:p>
      <w:r>
        <w:t>3.1Â Â Â Â  Mit Einspracheentscheid vom 17. September 2009 (Urk. 2) wurde die Einsprache vom 17. April 2007 (Urk. 8/123) begrÃ¼ndet abgewiesen.</w:t>
      </w:r>
    </w:p>
    <w:p>
      <w:r>
        <w:t>Â Â Â Â Â Â Â Â  Die Beschwerde vom 19. Oktober 2009 (Urk. 1) setzt sich nicht mit den de-taillierten AusfÃ¼hrungen der Beschwerdegegnerin im Einspracheentscheid vom 17. September 2009 (Urk. 2) auseinander. Ausser dem Hinweis auf die Ver-letzung von Art. 43 ATSG bei der Ermittlung des mutmasslich entgangenen Verdienstes (Urk. 1 S. 5 Ziff. II.10) handelt es sich bei der Beschwerde praktisch um eine wortwÃ¶rtliche Wiederholung der Einsprache vom 17. April 2007.</w:t>
      </w:r>
    </w:p>
    <w:p>
      <w:r>
        <w:t>3.2Â Â Â Â  Unbestritten ist, dass dem BeschwerdefÃ¼hrer wÃ¤hrend des Zeitraums vom 26. Januar 2005 bis 31. Januar 2006 Sozialversicherungsleistungen von insgesamt Fr. 131'844.05 ausbezahlt wurden.</w:t>
      </w:r>
    </w:p>
    <w:p>
      <w:r>
        <w:t>Â Â Â Â Â Â Â Â  Die Beschwerdegegnerin errechnete nach Abzug des mutmasslich entgangenen Verdienstes in der HÃ¶he von Fr. 81'044.95 und der noch nicht ausbezahlten Taggelder der Unfallversicherung von Fr. 5'244.-- eine ÃberentschÃ¤digung von Fr. 45'555.10 (Urk. 2 S. 3 f. Erw. 2-3, Urk. 8/101).</w:t>
      </w:r>
    </w:p>
    <w:p>
      <w:r>
        <w:t>Â Â Â Â Â Â Â Â  Die vom BeschwerdefÃ¼hrer einsprache- und beschwerdeweise vorgebrachten Argumente zielen auf die Darlegung eines hÃ¶heren hypothetischen Einkommens im Gesundheitsfall sowie hÃ¶herer anrechenbarer Ausgaben im Sinne von Mehrkosten aufgrund der Behinderung ab.</w:t>
      </w:r>
    </w:p>
    <w:p>
      <w:r>
        <w:t>3.3Â Â Â Â  Angesichts des vollstÃ¤ndigen Fehlens einer Auseinandersetzung mit den Aus-fÃ¼hrungen der Beschwerdegegnerin kann in Bezug auf die Frage der Anrechen-barkeit der Kosten der HaushaltfÃ¼hrung des BeschwerdefÃ¼hrers (Urk. 1 S. 5 ff.) auf die in allen Teilen zutreffende BegrÃ¼ndung im angefochtenen Einspracheentscheid verwiesen werden (Urk. 2 S. 5 lit. b und c mit Hinweisen auf die Lehre).</w:t>
      </w:r>
    </w:p>
    <w:p>
      <w:r>
        <w:t>Â Â Â Â Â Â Â Â  Gleiches gilt fÃ¼r die vom BeschwerdefÃ¼hrer geltend gemachten Mehrkosten fÃ¼r eine Behandlung in seinem Heimatland B.___ (Urk. 1 S. 8 und Urk. 2 S. 5 f. lit. d). Dass die Behandlungskosten in der C.___ allenfalls hÃ¶her sind als in B.___ ist sodann gÃ¤nzlich irrelevant, steht es doch den Versicherten nicht frei, von den Ãrzten und der Versicherung angeordnete Therapien einfach zu verweigern und statt dessen im Ausland eine selber fÃ¼r passend erachtete Behandlung auf Kosten der Versicherung durchzufÃ¼hren.</w:t>
      </w:r>
    </w:p>
    <w:p>
      <w:r>
        <w:t>Â Â Â Â Â Â Â Â  Auch die vom BeschwerdefÃ¼hrer aufgeworfene Frage des Vertrauensschutzes, wonach er aufgrund der vorbehaltlosen Ausrichtung der Taggelder in guten Treuen davon habe ausgehen kÃ¶nnen, sie stÃ¤nden ihm zu (Urk. 1 S. 4), wurde von der Beschwerdegegnerin korrekt beantwortet (Urk. 2 S. 6 lit. e) und vom BeschwerdefÃ¼hrer nicht mehr kommentiert, geschweige denn - mit Blick auf die Rechtsprechung - argumentativ thematisiert. AnzufÃ¼gen bleibt in diesem Zusammenhang, dass der BeschwerdefÃ¼hrerin mit Versicherungsleistungen von Fr. 131'844.05 fÃ¼r 371 Tage ein Einkommen von 63 % Ã¼ber seinem Ã¼blichen Jahreslohn von Fr. 79'740.-- bezogen hat, weshalb er mit der nÃ¶tigen Aufmerksamkeit ohne weiteres merken musste, dass der Leistungsbezug nicht rechtmÃ¤ssig erfolgte.</w:t>
      </w:r>
    </w:p>
    <w:p>
      <w:r>
        <w:t>3.4Â Â Â Â  Als einziges begrÃ¼ndetes Vorbringen machte der BeschwerdefÃ¼hrer geltend, die Beschwerdegegnerin habe Art. 43 ATSG verletzt, indem sie bezÃ¼glich des mutmasslich entgangenen Verdienstes nicht die erforderlichen AbklÃ¤rungen getÃ¤tigt habe. Namentlich kÃ¶nne nicht auf den von der ehemaligen Arbeitgeberin gemeldeten mutmasslichen Jahreslohn von Fr. 79'740.-- abgestellt werden, da dieser dem im Jahr 2003 erzielten Nettolohn entspreche (Urk. 1 S. 5).</w:t>
      </w:r>
    </w:p>
    <w:p>
      <w:r>
        <w:t>Â Â Â Â Â Â Â Â  Vorliegend ist die Beschwerdegegnerin ihrer Untersuchungspflicht vollumfÃ¤nglich nachgekommen, indem sie mit Schreiben vom 1. September 2006 beim ehemaligen Arbeitgeber anfragte, wie hoch das Einkommen des BeschwerdefÃ¼hrers im Jahre 2006 wÃ¤re. Der Arbeitsgeber hielt am 4. September 2006 fest, dass das Einkommen keine Ãnderung erfahren hÃ¤tte (Urk. 8/97). Damit ist die Beschwerdegegnerin zu Recht von einem Jahreslohn von Fr. 79'740.-- ausgegangen (vgl. Urk. 2 S. 4 Erw. 3.c), welcher Betrag im Ãbrigen korrekterweise dem Bruttolohn samt Kinderzulagen entspricht.</w:t>
      </w:r>
    </w:p>
    <w:p>
      <w:r>
        <w:t>Â Â Â Â Â Â Â Â  Dieser Lohn ist namentlich nicht an die statistische Nominallohnentwicklung von 3.3 % fÃ¼r die Jahre 2003 bis 2006 (Die Volkswirtschaft 11-2010 S. 99 Tabelle B10.2 Rubrik M,N,O) anzupassen, da es dem Arbeitsgeber frei steht, ob er eine LohnerhÃ¶hung gewÃ¤hren will oder nicht, und auf mÃ¶glichst konkrete VerhÃ¤ltnisse abzustellen ist. Auch ein allfÃ¤lliger Vergleich mit Mitarbeitern des Betriebes wÃ¼rde hieran nichts Ã¤ndern, bestÃ¤tigte die Arbeitgeberin doch klar, dass jedenfalls dem BeschwerdefÃ¼hrer keine LohnerhÃ¶hung gewÃ¤hrt worden wÃ¤re.</w:t>
      </w:r>
    </w:p>
    <w:p>
      <w:r>
        <w:t>4.Â Â Â Â Â Â  Weitere Anhaltspunkte fÃ¼r IrrtÃ¼mer der Beschwerdegegnerin in Bezug auf die Grundlagen der RÃ¼ckforderung wurden keine geltend gemacht und sind auch nicht ersichtlich, weshalb es mit der Feststellung sein Bewenden hat, dass sich der angefochtene Einspracheentscheid vom 17. September 2009 (Urk. 2) als in jeder Hinsicht rechtens erweist und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Roland Schaub</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