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UV.2009.00251 vom 10. März 2011</w:t>
      </w:r>
    </w:p>
    <w:p>
      <w:r>
        <w:t>ZH Sozialversicherungsgericht, 2011-03-10, DE</w:t>
      </w:r>
    </w:p>
    <w:p>
      <w:r>
        <w:rPr>
          <w:b/>
        </w:rPr>
        <w:t xml:space="preserve">Quelle: </w:t>
      </w:r>
      <w:r>
        <w:t>https://mcp.opencaselaw.ch/entscheid/zh_sozialversicherungsgericht_UV.2009.00251</w:t>
      </w:r>
    </w:p>
    <w:p>
      <w:r>
        <w:t>FR: ZH_SOZIALVERSICHERUNGSGERICHT UV.2009.00251 du 10 mars 2011</w:t>
      </w:r>
    </w:p>
    <w:p>
      <w:r>
        <w:t>IT: ZH_SOZIALVERSICHERUNGSGERICHT UV.2009.00251 del 10 marzo 2011</w:t>
      </w:r>
    </w:p>
    <w:p>
      <w:pPr>
        <w:pStyle w:val="Heading2"/>
      </w:pPr>
      <w:r>
        <w:t>Erwägungen</w:t>
      </w:r>
    </w:p>
    <w:p>
      <w:r>
        <w:rPr>
          <w:b/>
        </w:rPr>
        <w:t>E. 1</w:t>
      </w:r>
    </w:p>
    <w:p>
      <w:r>
        <w:t>1.1Â Â Â Â  X.___, geboren 1965, ist gelernter Physiklaborant. Er war nach diversen Weiterbildungen im Bereich der Planung und des Verkaufs (Urk. 30/14/15) von Januar bis Mai 2004 als Key Account Manager fÃ¼r die Y.___ AG tÃ¤tig. Bei der Schweizerischen Unfallversicherungsanstalt (nachfolgend: SUVA) war er obligatorisch fÃ¼r UnfÃ¤lle versichert.</w:t>
      </w:r>
    </w:p>
    <w:p>
      <w:r>
        <w:t>Â Â Â Â Â Â Â Â  Bei einem Unfall im MÃ¤rz 1982 hatte sich der Versicherte am linken Handgelenk eine Navicularefraktur links zugezogen, in deren Folge sich eine Pseudarthrose bildete, die eine operative Revision benÃ¶tigte (Urk. 8/I/6). Es verblieben eine eingeschrÃ¤nkte Beweglichkeit des Handgelenks und gewisse Schmerzen, auch bildete sich eine Arthrose im Handgelenk. Am 27. Februar und 9. April 2004 kam es zu erneuten Kontusionen des linken Handgelenks (Urk. 8/II/4), woraufhin eine BehandlungsbedÃ¼rftigkeit und ArbeitsunfÃ¤higkeit entstanden und die SUVA wieder Leistungen ausrichtete. Das ArbeitsverhÃ¤ltnis bei der Y.___ AG wurde per Ende April 2004 aufgelÃ¶st, ab Mai 2004 war der Versicherte arbeitslos (Urk. 8/II/5). Die SUVA stellte nach einer kreisÃ¤rztlichen EinschÃ¤tzung der Situation (Urk. 8/II/21) die Heilbehandlungen am 9. November 2004 ein, Taggeldleistungen hatte sie bis 14. Juli 2004 erbracht. Mit VerfÃ¼gung vom 10. November 2004 sprach sie dem Versicherten eine IntegritÃ¤tsentschÃ¤digung fÃ¼r eine IntegritÃ¤tseinbusse von 7,5 % zu. Einen Anspruch auf eine Rente verneinte sie (Urk. 8/II/23). In der gegen diese VerfÃ¼gung gerichteten Einsprache beantragte der Versicherte die Weiterausrichtung eines vollen Taggeldes, allenfalls die Zusprache einer angemessenen Rente sowie eine IntegritÃ¤tsentschÃ¤digung fÃ¼r eine Einbusse von 15 % (Urk. 8/II/28). Mit Einspracheentscheid vom 18. MÃ¤rz 2005 wies die SUVA die Einsprache ab (Urk. 8/II/29). Das Sozialversicherungsgericht des Kantons ZÃ¼rich bestÃ¤tigte in seinem Urteil vom 27. Juni 2006 die Auffassung der SUVA hinsichtlich der Einstellung der Taggelder und der Heilbehandlungen. Es hob den Einspracheentscheid jedoch im Rentenpunkt auf und wies die Sache an die SUVA zur ergÃ¤nzenden AbklÃ¤rung und zu einem neuen Rentenentscheid zurÃ¼ck (Verfahren Nummer UV.2005.00207, Urk. 8/II/35/2). Das Bundesgericht trat auf die Beschwerde des Versicherten gegen das kantonale Urteil am 26. Februar 2007 nicht ein (Urk. 8/II/35/1).</w:t>
      </w:r>
    </w:p>
    <w:p>
      <w:r>
        <w:t>1.2Â Â Â Â  Die SUVA fÃ¼hrte am 9. Oktober 2006 ein GesprÃ¤ch mit Z.___ Ã¼ber die vom Versicherten bei der Y.___ AG ausgeÃ¼bte TÃ¤tigkeit (Urk. 8/II/34). Am 22. August 2007 verfÃ¼gte sie erneut, dass der Versicherte keinen Anspruch auf eine Invalidenrente habe (Urk. 8/II/44). Dagegen erhob der Versicherte Einsprache, worauf die SUVA am 17. Februar 2009 erneut RÃ¼cksprache mit Z.___ nahm (Urk. 8/II/49). Am 5. Juni 2009 erliess sie einen die Einsprache abweisenden Einspracheentscheid (Urk. 2).</w:t>
      </w:r>
    </w:p>
    <w:p>
      <w:r>
        <w:t>2.Â Â  Dagegen liess X.___ am 2. Juli 2009 Beschwerde erheben und beantragen, es sei die SUVA zu verpflichten, fÃ¼r die Folgen der UnfÃ¤lle vom 27. Februar 2004 und vom 9. April 2004 eine Invalidenrente auszurichten, eventualiter sei die Beschwerdegegnerin zu verpflichten, die ArbeitsfÃ¤higkeit auf seinem angestammten Beruf genau abzuklÃ¤ren und alsdann Ã¼ber den Anspruch neu zu entscheiden (Urk. 1). In der Beschwerdeantwort vom 8. September 2009 liess die SUVA die Abweisung der Beschwerde beantragen (Urk. 7). In der Replik vom 10. Dezember 2009 (Urk. 15) beziehungsweise in der Duplik vom 3. Mai 2010 (Urk. 22) hielten die Parteien an ihren AntrÃ¤gen fest. Das Gericht zog am 20. Oktober 2010 die Akten des Versicherten der Invalidenversicherung bei (Urk. 27) und holte bei den Parteien die Stellungnahmen vom 29. November 2010 (Urk. 34) und vom 4. Januar 2011 (Urk. 37) ein.</w:t>
      </w:r>
    </w:p>
    <w:p>
      <w:r>
        <w:t>Das Gericht zieht in ErwÃ¤gung:</w:t>
      </w:r>
    </w:p>
    <w:p>
      <w:r>
        <w:t>1.Â Â 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2</w:t>
      </w:r>
    </w:p>
    <w:p>
      <w:r>
        <w:t>2.1Â Â Â Â  Das Sozialversicherungsgericht bestÃ¤tigte in seinem Urteil die Einstellung der Heilbehandlungen und der Taggeldleistungen per 14. Juli 2004. Es hielt in seinem Urteil fest, dass bei der Einstellung der vorÃ¼bergehenden Leistungen auf die Ansicht des Kreisarztes Dr. med. A.___, Facharzt fÃ¼r Chirurgie, abzustellen sei. Das Profil der TÃ¤tigkeit dÃ¼rfe keine schweren Arbeiten wie HÃ¤mmern, Bohren, mit Vibrationen verbundene TÃ¤tigkeiten, Pickeln, Schaufeln, Spitzen, kraftvolles Zupacken, repetitive Stoss-, Zug- und Drehbewegungen sowie andauernde Tastaturarbeiten beinhalten. Der Kreisarzt beschrieb die Behinderungen des Versicherten dahingehend, dass als Restfolgen der Ereignisse der Jahre 1982 und 2004 eine leichte Belastungsintoleranz des linken, adominanten Handgelenkes und eine mÃ¤ssige BewegungseinschrÃ¤nkung vor allem in Extensions- /Flexionsrichtung bei symmetrischer Konfiguration Vorderarm, Handgelenk und Finger bestehe. Es bestÃ¼nden leichte belastungsabhÃ¤ngige Schmerzen vor allem bei Hyperextension und -flexion und schweren Gewichten. Der Arzt erachtete wechselnde BÃ¼roarbeiten als ideal und vollumfÃ¤nglich zumutbar (Urk. 8/II/21 S. 3 f.).</w:t>
      </w:r>
    </w:p>
    <w:p>
      <w:r>
        <w:t>Â Â Â Â Â Â Â Â  Einen KlÃ¤rungsbedarf sah das Gericht hinsichtlich des Anspruchs auf eine Invalidenrente und erachtete die von der Beschwerdegegnerin vertretene Ansicht, dass dem Versicherten aufgrund des beschriebenen Profils die bisherige TÃ¤tigkeit weiterhin vollumfÃ¤nglich zumutbar sei und sie deshalb keinen Einkommensvergleich vorgenommen hatte, als zu wenig untersucht (Urk. 8/II/29 S. 4). Es verpflichtete die Beschwerdegegnerin, eingehender zu ermitteln, in welchem Umfang der Versicherte in seiner bisherigen TÃ¤tigkeit manuelle Arbeiten ausfÃ¼hren musste und inwiefern unzumutbar lange Tastaturarbeiten notwendig waren. Es erachtete es damit letztlich als unklar, ob das letzte erreichte Einkommen auch als Invalideneinkommen herangezogen werden darf (Urk. 8/II/35/2 Erw. 5.4, 5.5).</w:t>
      </w:r>
    </w:p>
    <w:p>
      <w:r>
        <w:t>2.2Â Â Â Â  Die Beschwerdegegnerin wies in der VerfÃ¼gung vom 22. August 2007 den Rentenanspruch erneut mit der BegrÃ¼ndung ab, es bestehe keine wesentliche Behinderung und auch keine unfallbedingte Erwerbseinbusse (Urk. 8/II/44). Diese Ansicht bestÃ¤tigte sie im angefochtenen Einspracheentscheid (Urk. 2).</w:t>
      </w:r>
    </w:p>
    <w:p>
      <w:r>
        <w:t>Â Â Â Â Â Â Â Â  Der BeschwerdefÃ¼hrer macht im Verfahren zusammengefasst geltend, die Beschwerdegegnerin sei den Anweisungen im Urteil vom 27. Juni 2006 nicht nachgekommen. Es sei eine Person zu seinen Aufgaben befragt worden, die nicht mit dem Betrieb vertraut gewesen sei und nicht hinreichende Kenntnis Ã¼ber seine Aufgaben gehabt habe. Tatsache sei, dass er sehr viel Computerarbeit und damit Tastaturarbeit habe verrichten und auch kÃ¶rperlichen Einsatz bei der Errichtung der MessestÃ¤nde habe leisten mÃ¼ssen. Es zeige sich daher, dass ihm die ursprÃ¼ngliche TÃ¤tigkeit nicht mehr zumutbar sei, und in einer angepassten TÃ¤tigkeit erleide er eine Verdiensteinbusse von mindestens 67 % (Urk. 1). Weiter will er bei der Rentenberechnung in sachverhaltlicher Hinsicht die in der linken Hand ebenfalls vorhandenen SensibilitÃ¤tsstÃ¶rungen im Rahmen von Art. 36 Abs. 2 UVG berÃ¼cksichtigt wissen, was bisher nicht geschehen seiÂ  (Urk. 15 S. 3 f.).</w:t>
      </w:r>
    </w:p>
    <w:p>
      <w:r>
        <w:t>Â Â Â Â Â Â Â Â  Die Beschwerdegegnerin hÃ¤lt im Verfahren an ihrem Standpunkt fest. Der Versicherte habe nur sehr kurze Zeit bei der Y.___ AG gearbeitet, diese Stelle sei ihm sodann aus unfallfremden GrÃ¼nden gekÃ¼ndigt worden. Deshalb sei nicht so sehr das Profil der von ihm ganz konkret ausgefÃ¼hrten TÃ¤tigkeiten, sondern dasjenige der Stelle an sich relevant. Der Versicherte hÃ¤tte nach wie vor das Stellenprofil der Y.___ AG erfÃ¼llen kÃ¶nnen, weshalb er keine unfallbedingte Erwerbseinbusse erleide (Urk. 7).</w:t>
      </w:r>
    </w:p>
    <w:p>
      <w:r>
        <w:rPr>
          <w:b/>
        </w:rPr>
        <w:t>E. 3</w:t>
      </w:r>
    </w:p>
    <w:p>
      <w:r>
        <w:t>3.1Â Â Â Â  Im vorliegenden Verfahren geht es einzig um die Frage allfÃ¤lliger Renten-ansprÃ¼che aus den im Februar und April 2004 erlittenen gesundheitlichen BeeintrÃ¤chtigungen am unfallbedingt vorgeschÃ¤digten linken Handgelenk. Nicht Teil des Anfechtungsgegenstandes sind die am 16. Dezember 2004 und 3. MÃ¤rz 2005 erlittenen StÃ¼rze des Versicherten (Urk. 8/III/1, 8/IV/1).</w:t>
      </w:r>
    </w:p>
    <w:p>
      <w:r>
        <w:t>3.2Â Â Â Â  In medizinischer Hinsicht gilt nach wie vor das erwÃ¤hnte, von Dr. A.___ am 25. Oktober 2004 festgehaltene TÃ¤tigkeitsprofil einer zumutbaren Arbeit unter den erwÃ¤hnten unfallkausalen Folgen. Diese hat das Gericht rechtsverbindlich festgelegt; auf die RÃ¼ge des Versicherten, es seien unter den unfallkausalen Folgen auch SensibilitÃ¤tsstÃ¶rungen in der linken Hand zu berÃ¼cksichtigen, trat das Bundesgericht mangels einer substantiierten Beschwerde nicht ein (Urk. 35/1 S. 4). Mithin hat es bei der medizinischen Beurteilung durch Dr. A.___ sein Bewenden.</w:t>
      </w:r>
    </w:p>
    <w:p>
      <w:r>
        <w:t>3.3Â Â Â Â  Die SUVA befragte am 9. Oktober 2006 Z.___ zur TÃ¤tigkeit des Versicherten bei der Y.___ AG. Beim Befragten handelte es sich um einen damals interimistischen GeschÃ¤ftsfÃ¼hrer der Y.___ AG, weil diese saniert wurde. Dieser beschrieb die TÃ¤tigkeit des Versicherten als sogenannten Key Account Manager dahingehend, dieser habe in Europa Kunden fÃ¼r Waren- und Artikelsicherungssysteme (EAS-Systeme) besuchen mÃ¼ssen. Der BeschwerdefÃ¼hrer habe mittels eines Labtop und eines Verkaufsbuches und mit Zug, Flugzeug oder Auto die Kunden besucht. Die TÃ¤tigkeit habe in Verkaufs- und BeratungsgesprÃ¤chen, sodann in Offertstellungen und Auftragsformulierungen bestanden, wobei letztere TÃ¤tigkeiten durch den Verkaufsinnendienst auf Anweisung der VerkÃ¤ufer wie den BeschwerdefÃ¼hrer formuliert worden seien. Er habe somit nicht stundenlang Daten in den Labtop eingeben mÃ¼ssen. Bei Eintritt in die Firma habe der BeschwerdefÃ¼hrer an einer Messe im Ausland teilnehmen mÃ¼ssen, dabei sei ein kleiner Stand aufzubauen gewesen; diese Arbeit habe jedoch nicht der Versicherte selber machen mÃ¼ssen sondern die Leute vor Ort. Er habe somit nicht handwerklich tÃ¤tig sein oder schwere Gewichte heben mÃ¼ssen (Urk. 8/II/34).</w:t>
      </w:r>
    </w:p>
    <w:p>
      <w:r>
        <w:t>Â Â Â Â Â Â Â Â  Dagegen bringt der BeschwerdefÃ¼hrer zusammengefasst vor, er sei mit dem Aufbau eines Marktes beschÃ¤ftigt gewesen. Dazu habe er zunÃ¤chst einmal umfangreiche Dokumentationen erstellen mÃ¼ssen, bei seinem Stellenantritt habe es vollstÃ¤ndig an solchen Unterlagen gemangelt. Er habe eigentliche Marketingauftritte zusammen mit einer Werbeagentur erarbeitet, wobei erneut zahlreiche Listen zu erstellen gewesen seien, und er habe beim Versand von BroschÃ¼ren Hand anlegen mÃ¼ssen. Die Arbeit am Computer habe mindestens 80 % des Pensums umfasst (Urk. 1 S. 6). Sodann habe er auch beim Aufbau des erwÃ¤hnten Messestandes helfen mÃ¼ssen (Urk. 1 S. 7).Â</w:t>
      </w:r>
    </w:p>
    <w:p>
      <w:r>
        <w:t>3.4Â Â Â Â  Der BeschwerdefÃ¼hrer ist RechtshÃ¤nder. Er weist an der verunfallten adominanten linken Hand gemÃ¤ss Profil von Dr. A.___ eine leichte Belastungsintoleranz und gegenÃ¼ber der rechten Hand eine mÃ¤ssige BewegungseinschrÃ¤nkung handrÃ¼ckenwÃ¤rts (Extension) um 25Â° und beim Beugen nach unten (Flexion) um 35Â° auf, so dass er beim Ãberdehnen des Handgelenks nach unten und hinten und bei schweren Gewichten eingeschrÃ¤nkt ist. Ebenfalls fÃ¼r ungeeignet hat Dr. A.___ "andauernde Tastatur-Arbeiten" befunden (Urk. 8/II/21).</w:t>
      </w:r>
    </w:p>
    <w:p>
      <w:r>
        <w:t>Â Â Â Â Â Â Â Â  Die Aufgabe als Produktemanager von elektronischen ArtikelÃ¼berwachungs-gerÃ¤ten bestand aus verschiedenen TÃ¤tigkeitsfeldern (Urk. 8/II/45/2). Das Ziel dieser Arbeit war gemÃ¤ss Stellenbeschrieb der Aufbau von neuen MÃ¤rkten. Als Anforderungen an einen Produktemanager waren ein technisches Studium auf Stufe Fachhochschule oder Betriebswirtschaft mit technischem Flair, sodann grosse Erfahrungen im VerkaufsgeschÃ¤ft von erklÃ¤rungsbedÃ¼rftigen GÃ¼tern, verschiedene Kenntnisse in technischer Hinsicht, Sprachen und soziale Kompetenzen notwendig (Urk. 8/II/45/1). Das Ziel, nÃ¤mlich die Akquisition neuer MÃ¤rkte, widerspiegelte sich auch im relativ hohen Lohn von monatlich Fr. 10'000.-- zuzÃ¼glich eines allfÃ¤lligen Bonus (Urk. 8/II/2, Urk. 30/13/6). Nach eigener Darstellung und in Ãbereinstimmung mit den Aussagen von Z.___ betraf ein wichtiges TÃ¤tigkeitsfeld die AussendiensttÃ¤tigkeit im Umfang von rund 30 % (Urk. 8/II/49, Urk. 1 S. 9), gemÃ¤ss Stellenbeschrieb sogar von 40 % (Urk. 8/II/45/2), die mit vielfÃ¤ltiger ReisetÃ¤tigkeit, Kunden-gesprÃ¤chen, Computerarbeit und gelegentlich auch MessetÃ¤tigkeit gefÃ¼llt war. Wenn dabei ab und zu auch eine Mithilfe beim Aufstellen eines Verkaufs-standes notwendig war, kann dennoch nicht von einer unzumutbaren schweren Arbeit ausgegangen werden, derentwegen dem BeschwerdefÃ¼hrer die gesamte TÃ¤tigkeit nicht mehr zumutbar gewesen wÃ¤re. Es ist sodann auch nicht anzunehmen, dass ein allfÃ¤lliger Mangel an eigenhÃ¤ndiger Mithilfe beim Aufstellen eines Standes dazu gefÃ¼hrt hÃ¤tte oder dazu fÃ¼hren wÃ¼rde, dass der BeschwerdefÃ¼hrer die TÃ¤tigkeit eines Produktemanagers nicht bekommen hÃ¤tte oder bekommen wÃ¼rde, zu untergeordnet ist deren Bedeutung, sie erscheint nicht einmal im erwÃ¤hnten Stellenprofil (Urk. 8/II/45/2). Glaubhaft ist sodann zwar, dass vor allem im restlichen Umfang von 60 bis 70 % der Arbeit BÃ¼roarbeit anfiel und dass beim Produktemanagement Computerarbeit eine wichtige Stellung einnahm und generell einnimmt. Wie sich allerdings aus dem bei der Invalidenversicherung eingereichten Arbeitgeberbericht vom 30. November 2004 ergibt, fiel wÃ¤hrend 3 bis rund 5 Stunden pro Tag Kundenbetreuung, wÃ¤hrend einer halben Stunde bis zu drei Stunden Produktemanagementarbeit und selten die Erstellung von PrÃ¤sentationsunterlagen an, welche TÃ¤tigkeit wohl der vom Versicherten geltend gemachten Dokumentationserstellung entspricht (Urk. 30/13/4). Dennoch darf gesamthaft gesehen bei dieser vielfÃ¤ltigen TÃ¤tigkeit durchaus von einer wechselbelastenden Arbeit im kaufmÃ¤nnischen Verkaufsbereich gesprochen werden, auch wenn darunter gelegentlich die eine oder andere Arbeit zeitintensiver und damit dominanter war und ist. An einer anderen Stelle wÃ¤re das Profil des Produktemanagers wohl wieder etwas anders und mit anderen Hilfspersonen und Hilfsmitteln zu bewÃ¤ltigen, dennoch ist und bleibt es eine im Wesentlichen vielfÃ¤ltige, wechselbelastende TÃ¤tigkeit. Von einer unzumutbaren Arbeit mit andauernder Tastaturarbeit, wie sie beispielsweise bei einer vollzeitlich tÃ¤tigen SekretÃ¤rin oder einem SekretÃ¤r vorkommt, kann nicht gesprochen werden. Eine wechselbelastende TÃ¤tigkeit hielt Dr. A.___ denn auch ausdrÃ¼cklich im vollzeitlichen und vollschichtigen Umfang fÃ¼r weiterhin zumutbar (Urk. 8/II/21). Es ist der Beschwerdegegnerin darin Recht zu geben, dass nun, da der Versicherte die Stelle bei Y.___ AG nicht mehr hat, vor allem die Frage im Zentrum steht, ob dem Versicherten eine Ã¤hnliche Stelle in diesem Segment aus UnfallgrÃ¼nden nicht mehr oder nur noch eingeschrÃ¤nkt zumutbar ist, so dass eine unfallbedingte Erwerbseinbusse resultiert. Sie ist nach dem Gesagten zu verneinen. Mit den von Dr. A.___ formulierten EinschrÃ¤nkungen ist dem BeschwerdefÃ¼hrer eine TÃ¤tigkeit im Bereich des Produktemanagements weiterhin zumutbar, so dass aus unfallversicherungsrechtlicher Sicht von einem Invalideneinkommen im Bereich des Einkommens vor den fraglichen UnfÃ¤llen und daher von keiner unfallkausalen ErwerbsunfÃ¤higkeit ausgegangen werden kann.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JÃ¼rg Leimbacher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