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UV.2009.00232 vom 20. April 2011</w:t>
      </w:r>
    </w:p>
    <w:p>
      <w:r>
        <w:t>ZH Sozialversicherungsgericht, 2011-04-20, DE</w:t>
      </w:r>
    </w:p>
    <w:p>
      <w:r>
        <w:rPr>
          <w:b/>
        </w:rPr>
        <w:t xml:space="preserve">Quelle: </w:t>
      </w:r>
      <w:r>
        <w:t>https://mcp.opencaselaw.ch/entscheid/zh_sozialversicherungsgericht_UV.2009.00232</w:t>
      </w:r>
    </w:p>
    <w:p>
      <w:r>
        <w:t>FR: ZH_SOZIALVERSICHERUNGSGERICHT UV.2009.00232 du 20 avril 2011</w:t>
      </w:r>
    </w:p>
    <w:p>
      <w:r>
        <w:t>IT: ZH_SOZIALVERSICHERUNGSGERICHT UV.2009.00232 del 20 aprile 2011</w:t>
      </w:r>
    </w:p>
    <w:p>
      <w:pPr>
        <w:pStyle w:val="Heading2"/>
      </w:pPr>
      <w:r>
        <w:t>Erwägungen</w:t>
      </w:r>
    </w:p>
    <w:p>
      <w:r>
        <w:rPr>
          <w:b/>
        </w:rPr>
        <w:t>E. 1</w:t>
      </w:r>
    </w:p>
    <w:p>
      <w:r>
        <w:t>1.1Â Â Â Â  Die Beschwerdegegnerin hielt im angefochtenen Entscheid dafÃ¼r, gestÃ¼tzt auf die Beurteilung von Prof. Dr. B.___ vom 24. MÃ¤rz 2009 (Urk. 8/Beilage 4 zu K47) sei der Endzustand erreicht und die Leistungseinstellung nicht zu beanstanden. Der Hinweis auf Art. 21 UVG vermÃ¶ge daran nichts zu Ã¤ndern, stehe diese Bestimmung doch mit der Festsetzung einer Rente in Zusammenhang (Urk. 2 S. 5). ErgÃ¤nzend hielt die Beschwerdegegnerin daran fest, die Ãbernahme weiterer Heilungskosten ohne Festsetzung einer Invalidenrente sei aufgrund der klar gefassten Bestimmung von Art. 21 UVG nicht mÃ¶glich (Urk. 7 S. 3).</w:t>
      </w:r>
    </w:p>
    <w:p>
      <w:r>
        <w:t>1.2Â Â Â Â Â Â Â Â  Hiergegen brachte der BeschwerdefÃ¼hrer vor, um seine ErwerbsfÃ¤higkeit zu erhalten, bzw. um eine wesentliche Verschlechterung des unfallbedingten Gesundheitszustandes zu vermeiden, seien weitere Heilbehandlungen nÃ¶tig, wofÃ¼r die Beschwerdegegnerin trotz Erreichen des medizinischen Endzustandes aufzukommen habe (Urk. 1 S. 4). Solche seien der Beurteilung von Prof. Dr. B.___ zufolge medizinisch indiziert und dienten der Behandlung der Unfallfolgen (Urk. 1 S. 5). GestÃ¼tzt auf Art. 21 Abs. 1 lit. c und d UVG habe die Beschwerdegegnerin die entsprechenden Kosten zu tragen, sei es doch Sinn und Zweck dieser Bestimmung, Renten begrÃ¼ndende GesundheitsschÃ¤den herauszuzÃ¶gern, zu vermeiden oder zu verkleinern (Urk. 1 S. 6).</w:t>
      </w:r>
    </w:p>
    <w:p>
      <w:r>
        <w:rPr>
          <w:b/>
        </w:rPr>
        <w:t>E. 2</w:t>
      </w:r>
    </w:p>
    <w:p>
      <w:r>
        <w:t>2.1Â Â Â Â  Nach Art. 10 Abs. 1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2.2Â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oder die Berufskrankheit eine InvaliditÃ¤t im Sinne von Art. 8 Abs. 1 des Bundesgesetzes Ã¼ber den Allgemeinen Teil des Sozialversicherungsrechts (ATSG) hinterlÃ¤sst (Art. 19 Abs. 1 UVG e contrario; BGE 116 V 44 Erw. 2c). Mit dem Rentenbeginn fÃ¤llt die Heilbehandlung mithin grundsÃ¤tzlich dahin. GemÃ¤ss Art. 21 Abs. 1 UVG werden der versicherten Person nach der Festsetzung der Rente Pflegeleistungen und KostenvergÃ¼tungen nur noch dann gewÃ¤hrt, wenn sie:</w:t>
      </w:r>
    </w:p>
    <w:p>
      <w:r>
        <w:t>Â Â Â Â Â Â Â Â  -Â Â Â Â Â Â Â  an einer Berufskrankheit leidet (lit. a);</w:t>
      </w:r>
    </w:p>
    <w:p>
      <w:r>
        <w:t>Â Â Â Â Â Â Â Â  -Â Â Â Â Â Â Â  unter einem RÃ¼ckfall oder an SpÃ¤tfolgen leidet und die ErwerbsfÃ¤higkeit Â Â Â Â Â Â Â  durch medizinische Vorkehren wesentlich verbessert oder vor wesentlicher Â Â Â Â Â Â Â  BeeintrÃ¤chtigung bewahrt werden kann (lit. b);</w:t>
      </w:r>
    </w:p>
    <w:p>
      <w:r>
        <w:t>Â Â Â Â Â Â Â Â  -Â Â Â Â Â Â Â  zur Erhaltung ihrer verbleibenden ErwerbsfÃ¤higkeit dauernd der Behand-Â Â Â Â Â Â Â  lung und Pflege bedarf (lit. c);</w:t>
      </w:r>
    </w:p>
    <w:p>
      <w:r>
        <w:t>Â Â Â Â Â Â Â Â  -Â Â Â Â Â Â Â  erwerbsunfÃ¤hig ist und ihr Gesundheitszustand durch medizinische Vor-Â Â Â Â Â Â Â  kehren wesentlich verbessert oder vor wesentlicher BeeintrÃ¤chtigung be-Â Â Â Â Â Â Â  wahrt werden kann (lit. d).</w:t>
      </w:r>
    </w:p>
    <w:p>
      <w:r>
        <w:t>2.3Â Â Â Â Â Â Â Â  Ausgangspunkt jeder Auslegung bildet der Wortlaut der Bestimmung. Ist der Text nicht ganz klar und sind verschiedene Interpretationen mÃ¶glich, so muss nach seiner wahren Tragweite gesucht werden unter BerÃ¼cksichtigung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verÃ¤nderte UmstÃ¤nde oder ein gewandeltes RechtsverstÃ¤ndnis eine andere LÃ¶sung weniger nahelegen. Das Bundesgericht hat sich bei der Auslegung von Erlassen stets von einem Methodenpluralismus leiten lassen und nur dann allein auf das grammatische Element abgestellt, wenn sich daraus zweifelsfrei die sachlich richtige LÃ¶sung ergab (BGE 134 I 184 E. 5.1 S. 193; 134 V 1 E. 7.2 S. 5; 133 III 497 E. 4.1 S. 499).</w:t>
      </w:r>
    </w:p>
    <w:p>
      <w:r>
        <w:rPr>
          <w:b/>
        </w:rPr>
        <w:t>E. 3</w:t>
      </w:r>
    </w:p>
    <w:p>
      <w:r>
        <w:t>3.1Â Â Â Â  GemÃ¤ss Bericht des Spitals Y.___ vom 27. Juli 2002 (Urk. 9/M1) erlitt der BeschwerdefÃ¼hrer am 12. Juni 2002 eine vollstÃ¤ndige Ruptur der Achillessehne links. Die Therapie der Verletzung bestand in der Anlegung eines Gipses sowie der Gabe von Fragmin. Mit Bericht vom 25. Juli 2002 (Urk. 9/M2) machte Dr. med. C.___, Allgemeine Medizin FMH, eine nachfolgende Lungenembolie mit konservativer Behandlung durch das Spital Y.___ aktenkundig und notierte am 21. Juli 2003 (Urk. 9/M4), die Behandlung habe am 7. Mai 2003 abgeschlossen werden kÃ¶nnen.</w:t>
      </w:r>
    </w:p>
    <w:p>
      <w:r>
        <w:t>3.2Â Â Â Â Â Â Â Â  Nachdem der BeschwerdefÃ¼hrer am 4. Oktober 2006 erneut eine tiefe Venenthrombose erlitten hatte (Urk. 8/K5, K8), Dr. Z.___ aber einen Zusammenhang mit dem Vorfall im Jahre 2002 bloss als mÃ¶glich erachtet hatte (Urk. 9/M6), erfolgte am 30. November 2007 eine Begutachtung durch Prof. Dr. B.___ (Expertise vom 17. Dezember 2007, Urk. 9/M7). Dieser diagnostizierte einen Zustand nach Achillessehnenruptur links mit Atrophie der Biceps surae Muskulatur sowie ein postthrombotisches Syndrom am linken Unterschenkel (Urk. 9/M7 S. 3). Unter BerÃ¼cksichtigung der Tatsache, dass Prof. Dr. med. D.___ ein normales Gerinnungssystem erhoben hatte, kam der Gutachter zum Schluss, der Kausalzusammenhang zwischen der zweiten Thrombose und der im Jahre 2002 durchgemachten Venenthrombose sei gegeben. Er hielt im Weiteren fest, eine EinschrÃ¤nkung der ArbeitsfÃ¤higkeit bestehe nicht. Als derzeit nÃ¶tige Therapie bezeichnete er eine Dauerantikoagulation von mindestens einem Jahr. Die Frage, ob medizinische Behandlungen notwendig seien, um die ErwerbsfÃ¤higkeit zu erhalten oder eine wesentliche Verschlechterung des unfallbedingten Gesundheitszustandes zu verhindern, beantwortete der Arzt dergestalt, dass er medizinische Massnahmen vor allem dann als indiziert betrachtete, wenn der BeschwerdefÃ¼hrer lÃ¤ngere Flugreisen unternehme, einen Unfall habe oder krankheitsbedingt immobilisiert sei. ZusÃ¤tzlich werde das Tragen von KompressionsstrÃ¼mpfen von Vorteil sein, um das Fortschreiten des postthrombotischen Syndroms zu bremsen. Und wie bereits erwÃ¤hnt, sei mindestens wÃ¤hrend eines Jahres eine Antikoagulations-Therapie durchzufÃ¼hren (Urk. 9/M7 S. 4-5). Als bleibende SchÃ¤digung nannte Prof. Dr. B.___ ein erhÃ¶htes Thromboserisiko, wobei ein Anspruch auf eine IntegritÃ¤tsentschÃ¤digung nicht gegeben sei (Urk. 9/M7 S. 5). Abschliessend hielt er noch einmal fest, es empfehle sich eine dauerhafte Applikation von UnterschenkelkompressionsstrÃ¼mpfen, eine sportliche AktivitÃ¤t sei fÃ¶rderlich und regelmÃ¤ssige angiologische Nachkontrollen seien sinnvoll (Urk. 9/M7 S. 6).</w:t>
      </w:r>
    </w:p>
    <w:p>
      <w:r>
        <w:t>3.3Â Â Â Â  Am 12. Februar 2009 (Urk. 9/M10) erklÃ¤rte Dr. Z.___, mit Prof. Dr. B.___ sei davon auszugehen, dass die natÃ¼rliche KausalitÃ¤t zwischen den beiden erlittenen Thrombosen gegeben sei. Zur Zeit sei sicher von einem stationÃ¤ren Gesundheitszustand auszugehen. Eine namhafte Besserung durch weitere Behandlungen sei nicht herbeizufÃ¼hren, weil das postthrombotische Syndrom zu einer dauerhaften RÃ¼ckflussstÃ¶rung des venÃ¶sen Blutes fÃ¼hre. Die notwendige Bestrumpfung des Unterschenkels und die Dauerantikoagulation dienten der Erhaltung des aktuellen Zustandes.</w:t>
      </w:r>
    </w:p>
    <w:p>
      <w:r>
        <w:t>3.4Â Â Â Â  Zu HÃ¤nden des Rechtsvertreters des BeschwerdefÃ¼hrers hielt Prof. Dr. B.___ am 24. MÃ¤rz 2009 (Beilage 4 zu Urk. 8/47) fest, der Endzustand nach Venenthrombose sei nun nach anderthalb Jahren erreicht. Eine weitere Dauerantikoagulation sei nicht mehr von NÃ¶ten. DemgegenÃ¼ber sei in Risikosituationen wie etwa bei lÃ¤ngeren Flugreisen, lÃ¤ngerer Immobilisation nach UnfÃ¤llen oder Krankheit eine entsprechende Prophylaxe notwendig, um ein weiteres Thromboseereignis zu verhindern. Sofern kein weiteres schweres Thromboseereignis eintrete, so sei die ArbeitsfÃ¤higkeit nicht gefÃ¤hrdet. Zur erneuten Frage nach notwendigen Massnahmen schrieb der Arzt, das Tragen von medizinischen KompressionsstrÃ¼mpfen sei sicher hilfreich, um einerseits das subjektive Empfinden, vor allem bei sitzender TÃ¤tigkeit, zu verbessern und andererseits, um ein weiteres Fortschreiten des postthrombotischen Syndroms zu verhindern. In Risikosituationen sei eine entsprechende Massnahme zur Prophylaxe einer weiteren Thrombose sinnvoll.</w:t>
      </w:r>
    </w:p>
    <w:p>
      <w:r>
        <w:rPr>
          <w:b/>
        </w:rPr>
        <w:t>E. 4</w:t>
      </w:r>
    </w:p>
    <w:p>
      <w:r>
        <w:t>4.1Â Â Â Â  Fest steht zunÃ¤chst, dass der medizinische Endzustand erreicht ist und von einer weiteren Behandlung keine namhafte Besserung des Gesundheitszustandes des BeschwerdefÃ¼hrers mehr zu erwarten ist (Erw. 3.3, 3.4), was von diesem denn auch ausdrÃ¼cklich anerkannt worden ist (Urk. 1 S. 4). Sodann ist unbestritten, dass der BeschwerdefÃ¼hrer in seiner ArbeitsfÃ¤higkeit nicht eingeschrÃ¤nkt ist (Erw. 3.2) und demgemÃ¤ss die Ausrichtung einer Rente nicht in Frage steht.</w:t>
      </w:r>
    </w:p>
    <w:p>
      <w:r>
        <w:t>4.2Â Â Â Â</w:t>
      </w:r>
    </w:p>
    <w:p>
      <w:r>
        <w:t>4.2.1Â Â  Strittig ist einzig, ob der BeschwerdefÃ¼hrer Anspruch auf KostenÃ¼bernahme der Ã¼ber den Fallabschluss hinaus weiter notwendigen Heilbehandlungen durch die Beschwerdegegnerin hat.</w:t>
      </w:r>
    </w:p>
    <w:p>
      <w:r>
        <w:t>4.2.2Â Â  Bis zu welchem Zeitpunkt eine Heilbehandlung durch den Unfallversicherer zu gewÃ¤hren ist, ergibt sich nicht aus dem ersten Kapitel des UVG und dessen Art. 10 (Erw. 2.1). In BGE 134 V 109 Erw. 4.1 S. 114 hielt das Bundesgericht dazu fest, dass sich dieser Zeitpunkt aus Art. 19 UVG des zweiten Kapitels Ã¼ber Beginn und Ende der Invalidenrente, die, sofern die Voraussetzungen fÃ¼r deren Ausrichtung erfÃ¼llt sind, den vorÃ¼bergehenden Leistungen folgt, ergibt. Danach entsteht der Rentenanspruch, wenn von der Fortsetzung der Ã¤rztlichen Behandlung keine namhafte Besserung des Gesundheitszustandes mehr erwartet werden kann, was sich namentlich nach Massgabe der zu erwartenden Steigerung oder Wiederherstellung der ArbeitsfÃ¤higkeit, soweit unfallbedingt beeintrÃ¤chtigt, bestimmt (BGE 134 V 109 Erw. 4.3 S. 115). Das hÃ¶chste Gericht fÃ¼hrte weiter aus, an die Regelung von Art. 19 UVG schliesse sich nahtlos Art. 21 Abs. 1 UVG, wonach Heilbehandlungen nach Festsetzung der Rente durch den Unfallversicherer nur unter besonderen Voraussetzungen gewÃ¤hrt werden. Sei von der Fortsetzung der Ã¤rztlichen Behandlung keine namhafte Besserung im Sinne von Art. 19 Abs. 1 UVG mehr zu erwarten und seien anderseits die Voraussetzung nach Art. 21 Abs. 1 UVG nicht erfÃ¼llt, so habe der Unfallversicherer keine Heilbehandlung mehr zu Ã¼bernehmen. An seine Stelle trete nunmehr der obligatorische Krankenversicherer (BGE 134 V 109 Erw. 4.2 S. 115).</w:t>
      </w:r>
    </w:p>
    <w:p>
      <w:r>
        <w:t>4.2.3Â Â  Der BeschwerdefÃ¼hrer ist der Ansicht, bei korrekter Auslegung von Art. 21 UVG habe er aus dessen Abs. 1 lit. c und d Anspruch auf VergÃ¼tung der Heilungskosten (Erw. 1.2, Urk. 1 S. 5-6).</w:t>
      </w:r>
    </w:p>
    <w:p>
      <w:r>
        <w:t>Â Â Â Â Â Â Â Â  Dieser Auffassung steht der klare Wortlaut der angerufenen Bestimmung entgegen. GemÃ¤ss Art. 21 UVG bezieht sich die Gesetzesnorm einzig auf FÃ¤lle, in welchen eine (Invaliden)Rente festgesetzt wurde (Erw. 2.2). Zur Bedeutung der Norm fÃ¼hrte das Bundesgericht mit Blick auf die Gesetzessystematik aus, Art. 21 UVG Ã¼ber die Heilbehandlung nach Festsetzung der Rente Ã¤ndere am Leistungskatalog von Art. 10 ff. UVG grundsÃ¤tzlich nichts, sondern bilde nur insofern ein Sonderregime, als Art. 21 UVG die Voraussetzungen umschreibe, die erfÃ¼llt sein mÃ¼ssten, damit nach Festsetzung der Rente Leistungen der Art. 10 - 13 UVG Ã¼berhaupt wieder in Betracht kÃ¤men und gegebenenfalls zugesprochen werden kÃ¶nnten. WÃ¤hrend das alte Unfallversicherungsrecht gemÃ¤ss dem bis Ende 1983 in Kraft gewesenen KUVG eine Pflicht zur GewÃ¤hrung von Ã¤rztlicher Behandlung wÃ¤hrend der Rentenphase nur in engen Grenzen vorgesehen habe, sei mit Art. 21 UVG die ÂHeilbehandlung nach Festsetzung der RenteÂ (Marginale) Gegenstand eingehender Regelung geworden (BGE 116 V 41 Erw. 2f. S. 44 f.). Auch in den einschlÃ¤gigen Materialien (Botschaft zum Bundesgesetz Ã¼ber die Unfallversicherung vom 18. August 1976, BBl. 1976 II S. 141 ff.) findet sich kein Hinweis dafÃ¼r, dass Art. 21 UVG, so wie vom BeschwerdefÃ¼hrer vorgebracht, auch ohne Festsetzung einer Rente zur Anwendung gelangen sollte. In der bundesrÃ¤tlichen Botschaft wurde zu Art. 21 UVG bloss erlÃ¤uternd ausgefÃ¼hrt, die MÃ¶glichkeit der GewÃ¤hrung einer notwendigen Heilbehandlung nach der Zusprechung einer Invalidenrente werde gegenÃ¼ber dem geltenden Recht erweitert, wobei die TatbestÃ¤nde abschliessend umschrieben wÃ¼rden (BBl. 176 III S. 191 f.). Schliesslich wird in der Literatur die Meinung vertreten, Art. 21 UVG sei nicht mehr anwendbar, sobald eine Rente eingestellt werde (vgl. Alfred Maurer, Schweizerisches Unfallversicherungsrecht, 2. Aufl. Bern 1989, S. 387). Anhaltspunkte dafÃ¼r, dass Art. 21 UVG im Sinne des BeschwerdefÃ¼hrers anwendbar wÃ¤re, lassen sich mithin auch durch Gesetzesauslegung (Erw. 2.3) nicht finden.</w:t>
      </w:r>
    </w:p>
    <w:p>
      <w:r>
        <w:t>Â Â Â Â Â Â Â Â  Daran vermag nichts zu Ã¤ndern, dass es als stossend erscheinen mag, dass derjenige Versicherte, der zwar eine unfallbedingte GesundheitsschÃ¤digung erleidet, nicht aber zum Bezug einer Rente berechtigt ist, betreffend Kostentragung einer andauernden Behandlung zur Erhaltung seiner ErwerbsfÃ¤higkeit gegenÃ¼ber dem RentenbezÃ¼ger schlechter gestellt ist. Zu bedenken bleibt dabei aber, dass dieser demgegenÃ¼ber bei RÃ¼ckfÃ¤llen und SpÃ¤tfolgen auf Art. 21 Abs. 1 lit. b verwiesen ist und sich demgemÃ¤ss die ErwerbsfÃ¤higkeit durch medizinische Massnahmen wesentlich verbessern lassen muss, wÃ¤hrend ohne Rentenfestsetzung das RÃ¼ckfallsrecht ungeschmÃ¤lert erhalten bleibt (Art. 11 der Verordnung Ã¼ber die Unfallversicherung [UVV], vgl. dazu auch die Kritik von Maurer, a.a.O., S. 388, FN 971).</w:t>
      </w:r>
    </w:p>
    <w:p>
      <w:r>
        <w:t>4.2.4Â Â  Sodann lÃ¤sst sich ein Anspruch auf Ãbernahme der Heilungskosten entgegen der Ansicht des BeschwerdefÃ¼hrers (Urk. 1 S. 6) auch nicht auf Art. 19 UVG stÃ¼tzen, sind doch nach stÃ¤ndiger Rechtsprechung die vorÃ¼bergehenden Leistungen - wozu auch die Heilbehandlung zÃ¤hlt - einzustellen, sofern eine namhafte Besserung des Gesundheitszustandes nicht mehr erwartet werden kann (Erw. 4.2.2). Solches ist vorliegend klarerweise nicht mehr zu erwarten (Erw. 3.3-3.4).</w:t>
      </w:r>
    </w:p>
    <w:p>
      <w:r>
        <w:t>5.Â Â Â Â Â Â Â Â  Zusammenfassend ist festzuhalten, dass sich ein Anspruch auf weitere KostenvergÃ¼tung fÃ¼r Heilbehandlung nach Fallabschluss nicht mehr ergibt,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Roger Peter</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