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UV.2009.00216 vom 22. Februar 2011</w:t>
      </w:r>
    </w:p>
    <w:p>
      <w:r>
        <w:t>ZH Sozialversicherungsgericht, 2011-02-22, DE</w:t>
      </w:r>
    </w:p>
    <w:p>
      <w:r>
        <w:rPr>
          <w:b/>
        </w:rPr>
        <w:t xml:space="preserve">Quelle: </w:t>
      </w:r>
      <w:r>
        <w:t>https://mcp.opencaselaw.ch/entscheid/zh_sozialversicherungsgericht_UV.2009.00216</w:t>
      </w:r>
    </w:p>
    <w:p>
      <w:r>
        <w:t>FR: ZH_SOZIALVERSICHERUNGSGERICHT UV.2009.00216 du 22 février 2011</w:t>
      </w:r>
    </w:p>
    <w:p>
      <w:r>
        <w:t>IT: ZH_SOZIALVERSICHERUNGSGERICHT UV.2009.00216 del 22 febbraio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1.6Â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rPr>
          <w:b/>
        </w:rPr>
        <w:t>E. 2</w:t>
      </w:r>
    </w:p>
    <w:p>
      <w:r>
        <w:t>2.1Â Â Â Â  Die Beschwerdegegnerin nahm an, es bestehe in angepasster TÃ¤tigkeit eine zeitlich unbegrenzte ArbeitsfÃ¤higkeit, und stellte aufgrund des Zumutbarkeitsprofils von Dr. E.___ eine ErwerbsunfÃ¤higkeit von 38 % fest (Urk. 2 S. 6 Ziff. 2 lit. e und S. 8 Ziff. 4 lit. e sowie Urk. 7 S. 3 Ziff. 5.5).</w:t>
      </w:r>
    </w:p>
    <w:p>
      <w:r>
        <w:t>2.2Â Â Â Â  Hiergegen macht der BeschwerdefÃ¼hrer geltend, die Beschwerdegegnerin habe zu Unrecht auf die Beurteilung von Dr. E.___ abgestellt; gemÃ¤ss dem behandelnden Neurologen Dr. F.___ betrage die ErwerbsfÃ¤higkeit hÃ¶chstens 50 bis 70 % (Urk. 1 S. 4) beziehungsweise bestehe eine 35 bis 40%ige ArbeitsunfÃ¤higkeit (Urk. 12 S. 2 i.V.m. Urk. 13/1).</w:t>
      </w:r>
    </w:p>
    <w:p>
      <w:r>
        <w:t>2.3Â Â Â Â  Unstreitig ist das Erreichen des medizinischen Endzustandes im Beurteilungszeitpunkt, die HÃ¶he des IntegritÃ¤tsschadens sowie die Tatsache, dass der BeschwerdefÃ¼hrer in der bisherigen TÃ¤tigkeit als Stahlbau-Monteur zu 100 % arbeitsunfÃ¤hig ist. Streitig sind der Grad der ArbeitsfÃ¤higkeit in angepasster TÃ¤tigkeit und der daraus resultierende InvaliditÃ¤tsgrad der Invalidenrente.</w:t>
      </w:r>
    </w:p>
    <w:p>
      <w:r>
        <w:rPr>
          <w:b/>
        </w:rPr>
        <w:t>E. 3</w:t>
      </w:r>
    </w:p>
    <w:p>
      <w:r>
        <w:t>3.1Â Â Â Â  Am 16. Oktober 2004 erlitt der BeschwerdefÃ¼hrer bei einem Motorradunfall eine SchÃ¤digung des Plexus brachialis mit Wurzelausriss C5 und C6 und einem Traktionsschaden Wurzel C7 an der dominanten rechten oberen ExtremitÃ¤t. Im Kantonsspital A.___ erfolgte am 23. November 2004 ein operativer Nerventransfer von C7 auf C5 und C6 (Operationsbericht von Prof. Dr. Z.___ [Urk. 8/8]).</w:t>
      </w:r>
    </w:p>
    <w:p>
      <w:r>
        <w:t>Â Â Â Â Â Â Â Â  Im Auftrag der IV-Stelle des Kantons Thurgau fand von 25. September bis 20. Oktober 2006 eine berufliche AbklÃ¤rung statt. Mit Bericht vom 14. November 2006 stellte die beauftragte B.___ in angepasster TÃ¤tigkeit eine ganztÃ¤gige Einsetzbarkeit fest (Urk. 8/132 S. 9 und 12).</w:t>
      </w:r>
    </w:p>
    <w:p>
      <w:r>
        <w:t>Â Â Â Â Â Â Â Â  Nach einer kreisÃ¤rztlichen Abschlussuntersuchung bestÃ¤tigte Dr. D.___ eine Einarmigkeit links mit minimal umsetzbaren, ganztÃ¤gigen ZudienhandmÃ¶glichkeiten rechts (EinarmbeschÃ¤ftigung). Dr. D.___ erwartete keine wesentliche Besserung der Befunde mehr (vgl. Urk. 8/180 S. 3).</w:t>
      </w:r>
    </w:p>
    <w:p>
      <w:r>
        <w:t>Â Â Â Â Â Â Â Â  Im Rahmen des Einspracheverfahrens fand am 18. Dezember 2008 eine neurologische Untersuchung bei Dr. E.___ statt, welche in ihrem Bericht vom 10. MÃ¤rz 2009 festhielt, dem BeschwerdefÃ¼hrer sei keine TÃ¤tigkeit mehr zuzumuten, die einen effektiven oder repetitiven Einsatz der rechten Hand oder des rechten Armes erfordere. Auch repetitive TÃ¤tigkeiten im Sinne einer Zudienhand seien nicht mehr mÃ¶glich. Aufgrund der Schmerzzunahme bei dauernder beziehungsweise regelmÃ¤ssiger Beanspruchung des rechten Armes sei funktionell von einer EinhÃ¤ndigkeit auszugehen. Leichte, nicht bimanuelle TÃ¤tigkeiten seien ganztags zumutbar (Urk. 8/216 S. 12 f.).</w:t>
      </w:r>
    </w:p>
    <w:p>
      <w:r>
        <w:t>Â Â Â Â Â Â Â Â  Nach Abschluss des Einspracheverfahrens berichtete Dr. F.___ am 10. Mai 2009 Ã¼ber ausgeprÃ¤gte atrophe Paresen der C5- und C6-innervierten Muskulatur. Er gab an, nach einem deutlichen Kraftzuwachs im Bereich der Unterarm- und Handmuskulatur wÃ¼rden funktionelle manuelle TÃ¤tigkeiten mit dem linken Arm ausgefÃ¼hrt, die rechte Hand diene dabei als Haltehand (Urk. 3/4/2 = Urk. 8/223). Mit Bericht vom 15. Mai 2009 hielt Dr. F.___ fest, es bestehe je nach beruflicher TÃ¤tigkeit eine ArbeitsfÃ¤higkeit von 50 bis 70 %. Zum Einen liege dies an der GebrauchsunfÃ¤higkeit der rechten Hand, zum Anderen an der Ãberforderung und Ãberlastung des linken Armes bei hierdurch bedingten SekundÃ¤rschÃ¤den (Urk. 3/4/3 = Urk. 8/224).</w:t>
      </w:r>
    </w:p>
    <w:p>
      <w:r>
        <w:t>Â Â Â Â Â Â Â Â  Schliesslich wies Dr. F.___ mit Bericht vom 14. September 2009 darauf hin, die Schmerzmittel des medikamentÃ¶s zu behandelnden Schmerzsyndroms bewirkten MÃ¼digkeit und minderten die Neurokognition und damit die ArbeitsfÃ¤higkeit. Aufgrund der funktionellen BeeintrÃ¤chtigung durch LÃ¤hmungen im Bereich des Armes und der Schulter sei eine hochgradige Muskelschrumpfung (Atrophie) eingetreten. Der BeschwerdefÃ¼hrer sei in quantitativer und qualitativer Hinsicht nur teilweise arbeitsfÃ¤hig; zeitlich zwischen 50 und 70 %, quantitativ fÃ¼r leichte bis mittelschwere Arbeiten. Nach der IntegritÃ¤tsentschÃ¤digung (IntegritÃ¤tsentschÃ¤digungs-Tabellen) resultiere wenigstens eine ArbeitsunfÃ¤higkeit von 35 bis 40 % (Urk. 13/1 S. 1 und 2).</w:t>
      </w:r>
    </w:p>
    <w:p>
      <w:r>
        <w:t>3.2Â Â Â Â</w:t>
      </w:r>
    </w:p>
    <w:p>
      <w:r>
        <w:t>3.2.1Â Â  Nach stÃ¤ndiger Rechtsprechung beurteilt das Sozialversicherungsgericht die GesetzmÃ¤ssigkeit des angefochtenen Entscheids in der Regel nach dem Sachverhalt, der zur Zeit des Abschlusses des Verwaltungsverfahrens gegeben war (BGE 130 V 140 Erw. 2.1 mit Hinweisen). Der Einspracheentscheid der Beschwerdegegnerin datiert vom 1. Mai 2009 (Urk. 2). Da die Berichte von Dr. F.___ vom 10. Mai (Urk. 3/4/2 = Urk. 8/223), vom 15. Mai (Urk. 3/4/3 = Urk. 8/224) und vom 14. September 2009 (Urk. 13/1) jedoch Tatsachen betreffen, die sich vor dem Einspracheentscheid verwirklicht haben, sind sie als Beweismittel gleichwohl grundsÃ¤tzlich zu berÃ¼cksichtigen.</w:t>
      </w:r>
    </w:p>
    <w:p>
      <w:r>
        <w:t>3.2.2Â Â  Die neurologische Beurteilung von Dr. E.___, auf welche sich die Beschwerdegegnerin zur Hauptsache stÃ¼tzt (Urk. 2 S. 6 Ziff. 2 lit. e), ist als umfassend zu beurteilen. Sie wurde in Kenntnis der Vorakten, namentlich auch in BerÃ¼cksichtigung frÃ¼herer Berichte von Dr. F.___ (vgl. Urk. 8/216 mit Hinweis auf Urk. 8/104, Urk. 8/96 und Urk. 8/51), und nach DurchfÃ¼hrung einer besonderen Magnetresonanztomographie des Gehirns, einschliesslich hÃ¤mosiderin-sensibler Sequenzen zum Ausschluss beziehungsweise Nachweis einer unfallbedingten Hirnverletzung (vgl. Urk. 8/207 und Urk. 8/211), abgegeben. Auch leuchtet sie in der Darlegung der medizinischen ZusammenhÃ¤nge ein und die darin enthaltenen Schlussfolgerungen sind nachvollziehbar und klar begrÃ¼ndet. Somit stellt die Beurteilung von Dr. E.___ eine beweiskrÃ¤ftige medizinische Grundlage dar.</w:t>
      </w:r>
    </w:p>
    <w:p>
      <w:r>
        <w:t>Â Â Â Â Â Â Â Â  Die Zumutbarkeitsbeurteilung von Dr. E.___ stimmt mit den entsprechenden Stellungnahmen der B.___ vom 14. November 2006 (vgl. Urk. 8/132 S. 9 und 11) und von Kreisarzt Dr. D.___ vom 9. April 2008 Ã¼berein (vgl. Urk. 8/180 S. 3), weshalb hinsichtlich der teilweise widersprechenden Stellungnahmen von Dr. F.___ (vgl. Bericht vom 10. Mai 2009 [Urk. 3/4/2 = Urk. 8/223]), welche - wie die Beschwerdegegnerin richtig bemerkte (vgl. Urk. 7 S. 3 Ziff. 5.4) - allerdings in Bezug auf die EinsatzfÃ¤higkeit der rechten Hand mit der Beurteilung von Dr. E.___ weitgehend Ã¼bereinstimmt, jedoch in Bezug auf das Ausmass der ArbeitsunfÃ¤higkeit von dieser abweicht, berÃ¼cksichtigt werden darf und muss, dass erfahrungsgemÃ¤ss regelmÃ¤ssig behandelnde SpezialÃ¤rzte mitunter im Hinblick auf ihre auftragsrechtliche Vertrauensstellung in ZweifelsfÃ¤llen eher zu Gunsten ihrer Patientinnen und Patienten aussagen (vgl. Urteil des Bundesgerichts vom 2. April 2007, I 551/06, Erw. 4.2 mit Hinweisen). Da Dr. F.___ zudem zu Unrecht von den IntegritÃ¤tsentschÃ¤digungs-Tabellen der Beschwerdegegnerin auf die ArbeitsfÃ¤higkeit schliesst (vgl. Urk. 13/1), ist nicht auf dessen Beurteilung abzustellen.</w:t>
      </w:r>
    </w:p>
    <w:p>
      <w:r>
        <w:t>Â Â Â Â Â Â Â Â  ZusÃ¤tzliche medizinische AbklÃ¤rungen sind nicht durchzufÃ¼hren, da hiervon keine neuen entscheidwesentlichen Erkenntnisse zu erwarten sind (antizipierte BeweiswÃ¼rdigung, BGE 124 V 94 Erw. 4b; 122 V 162 Erw. 1d). FÃ¼r die nachfolgende RentenprÃ¼fung darf auf die Zumutbarkeitsbeurteilung von Dr. E.___ abgestellt werden, nach welcher von einer ganztÃ¤gigen, 100%igen ArbeitsfÃ¤higkeit in angepasster TÃ¤tigkeit auszugehen ist.</w:t>
      </w:r>
    </w:p>
    <w:p>
      <w:r>
        <w:rPr>
          <w:b/>
        </w:rPr>
        <w:t>E. 4</w:t>
      </w:r>
    </w:p>
    <w:p>
      <w:r>
        <w:t>4.1Â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(BGE 130 V 349 Erw. 3.4.2). FÃ¼r die Ermittlung des Valideneinkommens, also des Einkommens, welches die versicherte Person nach dem Beweisgrad der Ã¼berwiegenden Wahrscheinlichkeit als Gesunde tatsÃ¤chlich verdient hÃ¤tte, wird in der Regel am zuletzt erzielten, Verdienst angeknÃ¼pft. Ohne Gesundheitsschaden hÃ¤tte der BeschwerdefÃ¼hrer im Jahr 2008 gemÃ¤ss der, vom BeschwerdefÃ¼hrer zu Recht nicht bestrittenen, Feststellung der Beschwerdegegnerin im Einspracheentscheid Fr. 67'855.95 verdient (vgl. Urk. 2 S. 8 Ziff. 4 lit. e i.V.m Urk. 8/185 f.).</w:t>
      </w:r>
    </w:p>
    <w:p>
      <w:r>
        <w:t>4.2Â Â Â Â  FÃ¼r die Festsetzung des Invalideneinkommens ist primÃ¤r von der beruflich-erwerblichen Situation auszugehen, in welcher die versicherte Person konkret steht. Da der BeschwerdefÃ¼hrer nach dem Unfall nicht mehr an den bisherigen Arbeitsplatz zurÃ¼ckkehrte und er keine neue ErwerbstÃ¤tigkeit aufgenommen hat (vgl. Urk. 2 S. 6 Ziff. 3), ist das Invalideneinkommen aufgrund der TabellenlÃ¶hne gemÃ¤ss den vom Bundesamt fÃ¼r Statistik periodisch herausgegebenen Lohnstrukturerhebungen (LSE) zu bestimmen. Dabei rechtfertigt es sich im vorliegenden Fall, auf Tabelle A1, Zeile 50 bis 93, der LSE abzustellen, da dem Leiden des BeschwerdefÃ¼hrers entsprechende TÃ¤tigkeiten am ehesten im Bereich der Dienstleistungen zu finden sind (vgl. Urteil des Bundesgerichts vom 4. April 2003, U 263/01, Erw. 6.2.2). Es darf angenommen werden, dass in dieser Kategorie durchaus reale EinsatzmÃ¶glichkeiten fÃ¼r den BeschwerdefÃ¼hrer bestehen. Im Jahr 2006 belief sich der Bruttolohn fÃ¼r Arbeitnehmer bei entsprechenden einfachen und repetitiven TÃ¤tigkeiten auf Fr. 4'384.-- im Monat. Unter BerÃ¼cksichtigung der betriebsÃ¼blichen wÃ¶chentlichen Arbeitszeit im Jahr 2008 von 41,6 Stunden (vgl. Urk. 2 S. 7 Ziff. 4 lit. c; Die Volkswirtschaft, 12-2010, S. 90 Tabelle B9.2) und angepasst an die Nominallohnentwicklung 2006/07 von 1,6 % und 2007/08 von 2 % (vgl. Urk. 2 S. 7 Ziff. 4 lit. c) ergibt sich ein Jahreseinkommen 2008 von Fr. 56'699.45. Der von der Beschwerdegegnerin ermessensweise gewÃ¤hrte leidensbedingte Abzug von 25 % vom Tabellenlohn ist nicht zu beanstanden, was zu einem Invalideneinkommen von Fr. 42'524.60 und im Vergleich zum Valideneinkommen von Fr. 67'855.95 zu einer Erwerbseinbusse von Fr. 25'331.35 beziehungsweise zu einem InvaliditÃ¤tsgrad von 37,33 % fÃ¼hrt, welcher rechtsprechungsgemÃ¤ss nach den anerkannten Regeln der Mathematik auf 37 % abzurunden wÃ¤re (vgl. BGE 130 V 122 f. Erw. 3.2). Der von der Beschwerdegegnerin ermittelte InvaliditÃ¤tsgrad von 38 % zu Gunsten des BeschwerdefÃ¼hrers ist demnach nicht zu beanstanden.</w:t>
      </w:r>
    </w:p>
    <w:p>
      <w:r>
        <w:t>5.Â Â Â Â Â Â  Der Einspracheentscheid der Beschwerdegegnerin vom 1. Mai 2009 besteht mithin zu Recht, was zur Abweisung der Beschwerde fÃ¼hrt.</w:t>
      </w:r>
    </w:p>
    <w:p>
      <w:r>
        <w:t>6.Â Â Â Â Â Â  Das Verfahren ist kostenlos (Â§ 33 des Gesetzes Ã¼ber das Sozialversicherungsgericht [GSVGer] in Verbindung mit Art. 1 UVG und Art. 61 lit. a ATSG) und entschÃ¤digungsfrei (Â§ 34 GSVGer in Verbindung mit Art. 1 UVG und Art. 61 lit. g ATSG).</w:t>
      </w:r>
    </w:p>
    <w:p>
      <w:r>
        <w:t>7.Â Â Â Â Â Â  Nach Art. 45 Abs. 1 ATSG Ã¼bernimmt der VersicherungstrÃ¤ger die Kosten der AbklÃ¤rung, soweit er die Massnahmen angeordnet hat. Hat er keine Massnahmen angeordnet, so Ã¼bernimmt er deren Kosten dennoch, wenn die Massnahmen fÃ¼r die Beurteilung des Anspruchs unerlÃ¤sslich waren oder Bestandteil nachtrÃ¤glich zugesprochener Leistung bilden. Die Kosten privat eingeholter Gutachten sind dann zu vergÃ¼ten, wenn die Parteiexpertise fÃ¼r die Entscheidfindung unerlÃ¤sslich ist (Urteil des Bundesgerichts vom 7. Dezember 2010, 8C_388/2010, Erw. 10.2, mit Hinweisen). Da sich der medizinische Sachverhalt fÃ¼r die Rentenfrage ohne die vom BeschwerdefÃ¼hrer beigebrachte letzte Stellungnahme von Dr. F.___ vom 14. September 2009 (Urk. 13/1) schlÃ¼ssig feststellen liess, hat die Beschwerdegegnerin nicht fÃ¼r allfÃ¤llig entsprechende Berichtskosten aufzukommen.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Guy Reich</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