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UV.2009.00182 vom 20. Juni 2011</w:t>
      </w:r>
    </w:p>
    <w:p>
      <w:r>
        <w:t>ZH Sozialversicherungsgericht, 2011-06-20, DE</w:t>
      </w:r>
    </w:p>
    <w:p>
      <w:r>
        <w:rPr>
          <w:b/>
        </w:rPr>
        <w:t xml:space="preserve">Quelle: </w:t>
      </w:r>
      <w:r>
        <w:t>https://mcp.opencaselaw.ch/entscheid/zh_sozialversicherungsgericht_UV.2009.00182</w:t>
      </w:r>
    </w:p>
    <w:p>
      <w:r>
        <w:t>FR: ZH_SOZIALVERSICHERUNGSGERICHT UV.2009.00182 du 20 juin 2011</w:t>
      </w:r>
    </w:p>
    <w:p>
      <w:r>
        <w:t>IT: ZH_SOZIALVERSICHERUNGSGERICHT UV.2009.00182 del 20 giugno 2011</w:t>
      </w:r>
    </w:p>
    <w:p>
      <w:pPr>
        <w:pStyle w:val="Heading2"/>
      </w:pPr>
      <w:r>
        <w:t>Erwägungen</w:t>
      </w:r>
    </w:p>
    <w:p>
      <w:r>
        <w:rPr>
          <w:b/>
        </w:rPr>
        <w:t>E. 1</w:t>
      </w:r>
    </w:p>
    <w:p>
      <w:r>
        <w:t>1.1Â Â Â Â  Die Beschwerdegegnerin hat die zur Beurteilung der Streitsache massgeblichen rechtlichen Grundlagen und die einschlÃ¤gige Rechtsprechung im angefochtenen Einspracheentscheid (Urk. 2) zutreffend wiedergegeben. Es betrifft dies insbesondere die Bestimmungen Ã¼ber den Anspruch auf Leistungen der Unfallversicherung im Allgemeinen (Art. 6 Abs. 1 des Bundesgesetzes Ã¼ber die Unfallversicherung [UVG]), den nebst anderem vorausgesetzten natÃ¼rlichen Kausalzusammenhang zwischen dem Unfall und dem eingetretenen Schaden (BGE 129 V 177 E. 3.1 S. 181 mit Hinweisen) sowie die vorausgesetzte AdÃ¤quanz des Kausalzusammenhangs im Allgemeinen (BGE 129 V 177 E.3.2 S. 181) und bei psychischen Unfallfolgen im Besonderen (BGE 134 V 109 E. 6.1 S. 116, 115 V 133), die Voraussetzungen fÃ¼r den Anspruch auf eine Invalidenrente der Unfallversicherung und die Bemessung des InvaliditÃ¤tsgrades mittels Einkommensvergleich (Art. 18 Abs. 1 UVG in Verbindung mit Art. 16 des Bundesgesetzes Ã¼ber den Allgemeinen Teil des Sozialversicherungsrechts [ATSG]) wie auch die Grundlagen fÃ¼r die Bemessung der IntegritÃ¤tsentschÃ¤digung (Art. 25 Abs. 1 UVG in Verbindung mit Art. 36 der Verordnung Ã¼ber die Unfallversicherung [UVV]). Darauf kann verwiesen werden.</w:t>
      </w:r>
    </w:p>
    <w:p>
      <w:r>
        <w:t>1.2Â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 Auch Berichte und Gutachten versicherungsinterner Ãrztinnen und Ãrzte unterliegen wie andere Beweismittel der freien richterlichen BeweiswÃ¼rdigung. Es kann ihnen Beweiswert beigemessen werden, sofern sie als schlÃ¼ssig erscheinen, nachvollziehbar begrÃ¼ndet sowie in sich widerspruchsfrei sind und keine Indizien gegen ihre ZuverlÃ¤ssigkeit bestehen BGE 122 V 161 Erw. 1c unten).</w:t>
      </w:r>
    </w:p>
    <w:p>
      <w:r>
        <w:t>2.Â Â Â Â Â Â  Strittig und zu prÃ¼fen ist, ob der BeschwerdefÃ¼hrer aufgrund des am 6. Juli 2004 erlittenen Unfalles Anspruch auf hÃ¶here Leistungen (Rente, IntegritÃ¤tsentschÃ¤digung) der Beschwerdegegnerin hat.</w:t>
      </w:r>
    </w:p>
    <w:p>
      <w:r>
        <w:t>2.1Â Â Â Â  Laut dem Bericht der Rehabilitationsklinik Z.___ vom 17. September 2004 (Urk. 8/8) bestand beim BeschwerdefÃ¼hrer bei Austritt aus der Klinik am 8. September 2004 noch ein thorako-lumbales Schmerzsyndrom linksbetont mit muskulÃ¤rer Dysbalance der BeckengÃ¼rtelmuskulatur. Mit Hilfsmitteln wie SchuhlÃ¶ffel und Sockenanziehern sei er im ADL-Bereich (AktivitÃ¤ten des tÃ¤glichen Lebens) selbstÃ¤ndig, wÃ¤hrend in beruflicher Hinsicht bis zur vollstÃ¤ndigen Ausheilung der ossÃ¤ren LÃ¤sionen weiterhin eine 100%ige ArbeitsunfÃ¤higkeit bestehe. Im Bericht vom 21. Juni 2005 (Urk. 8/18) Ã¼ber den zweiten Aufenthalt in der Rehabilitationsklinik Z.___ werden als aktuelle Probleme belastungs- und bewegungsverstÃ¤rkte Schmerzen thorakolumbal links sowie im Bereich der linksseitigen Thorakotomienarbe, Druckdolenz im Bereich des palpablen dorsalen Osteosynthesenmaterials, Beckenschiefstand mit leichter VerkÃ¼rzung links, valgische Beinachse und im Training neu aufgetretene Schulterschmerzen links bei muskulÃ¤ren Verspannungen erwÃ¤hnt. Aufgrund des durchgefÃ¼hrten Ergonomie-Trainingsprogramms mit einer Evaluation der funktionellen LeistungsfÃ¤higkeit (EFL) erstellten die Rehabilitationsfachleute der Klinik ein Zumutbarkeitsprofil fÃ¼r die berufliche TÃ¤tigkeit. Danach sind dem BeschwerdefÃ¼hrer sowohl die bisherige TÃ¤tigkeit als Reinigungsmitarbeiter (diese mit einigen physischen EinschrÃ¤nkungen bezÃ¼glich dem Heben von Gewichten) als auch die nebenamtlich ausgeÃ¼bte Reinigung einer Zahnarztpraxis grundsÃ¤tzlich uneingeschrÃ¤nkt zumutbar. Wegen der langen ArbeitsunfÃ¤higkeit werde ein erleichterter Einstieg mit anfÃ¤nglich zusÃ¤tzlichen Pausen von zwei Stunden pro Tag empfohlen, wobei das Vollpensum in etwa zwei Monaten (d.h. ab ca. September 2005) anzustreben sei.</w:t>
      </w:r>
    </w:p>
    <w:p>
      <w:r>
        <w:t>2.2Â Â Â Â  Nach der Beurteilung von Kreisarzt Dr. B.___, der den BeschwerdefÃ¼hrer nach der am 20. Juli 2005 erfolgten Entfernung des Fixateur interne Th12-L2 (vgl. Urk. 8/25) untersuchte, bewegte er sich wohl sehr gemÃ¤chlich aber flÃ¼ssig und zeigte ordentliche Funktionen der WirbelsÃ¤ule. Subjektiv fÃ¼hle er sich vermindert belastbar und wohl ausserstande, wieder einer ErwerbstÃ¤tigkeit nachzugehen. Er pflege den Lebensstil einer Person, die aus dem Erwerbsleben zurÃ¼ckgetreten ist. Dies lasse sich indessen mit den Befunden nicht rechtfertigen, noch viel weniger mit dem Alter von knapp 50 Jahren. Es solle deshalb nochmals ein Versuch unternommen werden, die drohende Chronifizierung zu verhindern (Bericht vom 9. November 2005, Urk. 8/39). Das in der Folge ambulant durchgefÃ¼hrte Ergonomie-Trainingsprogramm in der Rehabilitationsklinik Z.___ zeigte auf, dass nach wie vor eine FunktionsstÃ¶rung der LendenwirbelsÃ¤ule mit belastungs- und positionsabhÃ¤ngig verstÃ¤rkten Schmerzen bestanden. Verglichen mit dem letzen Ergonomie-Trainingsprogramm machte der BeschwerdefÃ¼hrer einen unbeweglicheren, mÃ¼deren und insgesamt leidenderen Eindruck. In der Beurteilung der ArbeitsfÃ¤higkeit Ã¤nderte sich indessen nichts. Anstelle der zwischenzeitlich verlorenen TÃ¤tigkeit als Reinigungsmitarbeiter bei den VBZ wÃ¤ren dem BeschwerdefÃ¼hrer nach EinschÃ¤tzung der Ãrzte und Therapeuten eine leichte bis mittelschwere Arbeit, wechselbelastend ohne lÃ¤ngerdauernde TÃ¤tigkeit vorgeneigt sowie Ã¼ber BrusthÃ¶he ganztags zumutbar (Urk. 8/48).</w:t>
      </w:r>
    </w:p>
    <w:p>
      <w:r>
        <w:t>2.3Â Â Â Â  Am 24. Januar 2007 befasste sich Kreisarzt Dr. B.___ mit den am 4. Dezember 2006 im Stadtspital Y.___ neu angefertigten RÃ¶ntgenbildern der LWS und BWS (Urk. 8/72). Er hielt u.a. fest, anstelle von L1 liege ein Cage, der sich an der oberen Platte von Th12 und an der Deckplatte von L2 abstÃ¼tze. Der Cage sei im seitlichen Strahlengang leicht gekippt, kranial weiter ventral als kaudal, stehe leicht links der zentralen Achse, ap sei die Ausrichtung korrekt. Eine VerÃ¤nderung gegenÃ¼ber den Aufnahmen vom 26. Juli 2005 (angefertigt nach Entfernung des Fixateur interne am 20. Juli 2005) habe sich nicht ergeben. Er interpretierte damit die RÃ¶ntgenbilder etwas anders als der Radiologe Dr. med. D.___, Stadtspital Y.___, der in seinem Bericht vom 5. Dezember 2006 (Urk. 8/111) ausfÃ¼hrte, im Vergleich zu den Voruntersuchungen zeige sich ein zunehmender Einbruch der Deckplatte L2 mit Einsinken des Cages im anterioren Bereich, wÃ¤hrend die Bodenplatte Th12 und die Hinterkante von L1 unverÃ¤ndert seien. Im Ãbergang L1 zu L2 komme es infolge HÃ¶henminderung im ventralen Anteil zu einer Kyphosierung in diesem Segment.</w:t>
      </w:r>
    </w:p>
    <w:p>
      <w:r>
        <w:t>Â Â Â Â Â Â Â Â  Dr. C.___, der im Rahmen des vorliegenden Beschwerdeverfahrens eine nochmalige Ã¤rztliche Beurteilung der RÃ¶ntgenbilder vornahm (vgl. Urk. 7), rÃ¤umte ein, es sei nach Entfernung des Fixateur interne zu einer leichten Kyphosierung gekommen, was allerdings bei einem Implantat wie dem Fixateur interne nicht ungewÃ¶hnlich sei, da dieser einer Kyphosierung entgegengestanden habe. Insofern sei die These einer InstabilitÃ¤t bzw. eines weiteren Einsinkens des Cages in die Deckplatte von LWK-2 nicht unplausibel. Ob dies eine geringere Belastbarkeit der WirbelsÃ¤ule zur Folge habe, sei unklar. Doch Ã¤ndere dies an der bisherigen Zumutbarkeitsbeurteilung fÃ¼r berufliche TÃ¤tigkeiten nichts, da man zum Vornherein von TÃ¤tigkeiten ohne Heben und Tragen von relevanten Lasten ausgegangen sei.</w:t>
      </w:r>
    </w:p>
    <w:p>
      <w:r>
        <w:t>2.4Â Â Â Â  Die EinschÃ¤tzung von Dr. C.___ basiert auf einer einlÃ¤sslichen WÃ¼rdigung der bisherigen Aktenlage, insbesondere der zur VerfÃ¼gung stehenden RÃ¶ntgenbilder. Er ist in nachvollziehbarer Weise zum Schluss gelangt, dass es zwar nach Entfernung des Fixateur interne zu einer leicht Kyphosierung Th12 bis L2 gekommen ist, was aber die als zumutbar erachtete Belastung der WirbelsÃ¤ule nicht weiter reduzieren dÃ¼rfte. Entgegen der Auffassung des BeschwerdefÃ¼hrers kann von einer ungenÃ¼genden Sachverhaltsermittlung keine Rede sein (vgl. Urk. 1 S. 11). Sowohl Dr. C.___ wie Kreisarzt Dr. B.___ haben die in der Rehabilitationsklinik Z.___ vorgenommene Zumutbarkeitsbeurteilung (vgl. vorstehend Erw. 2.1 und 2.2) explizit bestÃ¤tigt. Es besteht kein Anlass, an den in der Rehabilitationsklinik Z.___ bzw. von Kreisarzt Dr. B.___ erhobenen Befunden und Schlussfolgerungen zu zweifeln, zumal der BeschwerdefÃ¼hrer gegen die medizinische EinschÃ¤tzung seiner beruflichen BelastungsfÃ¤higkeit beschwerdeweise keine weiteren Einwendungen erhoben hat.</w:t>
      </w:r>
    </w:p>
    <w:p>
      <w:r>
        <w:rPr>
          <w:b/>
        </w:rPr>
        <w:t>E. 3</w:t>
      </w:r>
    </w:p>
    <w:p>
      <w:r>
        <w:t>3.1Â Â Â Â  FÃ¼r den Erwerbsvergleich hat die Beschwerdegegnerin den mutmasslichen Verdienst im Jahr 2006 (Valideneinkommen) aufgrund der Angaben der beiden Arbeitgeber (Haupt- und Nebenverdienst) ermittelt und ist von einem Valideneinkommen von Fr. 76'293.-- ausgegangen, was nach Lage der Akten nicht zu beanstanden ist (Urk. 8/125.3, Urk. 8/63 und Urk. 8/60).</w:t>
      </w:r>
    </w:p>
    <w:p>
      <w:r>
        <w:t>3.2Â Â Â Â  Bei der Bemessung des trotz Gesundheitsschadens im Rahmen des Zumutbaren hypothetisch erzielbaren Einkommens (Invalideneinkommen) berÃ¼cksichtigte die Beschwerdegegnerin zusÃ¤tzlich einen Nebenverdienst (Urk. 8/125 S. 3), weil ein solcher dem BeschwerdefÃ¼hrer auch nach dem Unfall medizinisch weiterhin zumutbar und daher gestÃ¼tzt auf den Grundsatz der ParallelitÃ¤t der Bemessungsfaktoren sowohl beim Validen- als auch beim Invalideneinkommen anzurechnen sei (Urk. 6 S. 3 Ziffer 5.4). DemgegenÃ¼ber macht der BeschwerdefÃ¼hrer geltend, er sei auch im Rahmen der Schadenminderungspflicht nicht gehalten, das in einer 42-Stunden-Woche erzielte Invalideneinkommen mittels eines Nebenerwerbs aufzubessern, zumal er diesen Arbeitsplatz wegen des Unfalles verloren habe. Im Ãbrigen sei ihm, ausgehend vom LSE-Einkommen und unter BerÃ¼cksichtigung eines Leidensabzugs von mindestens 25 %, ein Invalideneinkommen von mehr als Fr. 45'000.-- nicht zumutbar (Urk. 1 S. 12 f.).</w:t>
      </w:r>
    </w:p>
    <w:p>
      <w:r>
        <w:t>3.2.1Â Â  Nach der Rechtsprechung ist ein Zusatzeinkommen aus Nebenerwerb beim Invalideneinkommen nur insoweit zu berÃ¼cksichtigen, als die versicherte Person ein solches trotz ihrer gesundheitlichen BeeintrÃ¤chtigung zumutbarerweise weiterhin erzielen kann. HiefÃ¼r ist gleich wie bei der HaupterwerbstÃ¤tigkeit massgebend, welche ArbeitstÃ¤tigkeiten und Arbeitsleistungen der versicherten Person aufgrund ihres Gesundheitszustandes nach Ã¤rztlicher Beurteilung noch zugemutet werden kÃ¶nnen (Urteil des Bundesgerichts vom 29. November 2002, U 130/02, Erw. 3.2.1).</w:t>
      </w:r>
    </w:p>
    <w:p>
      <w:r>
        <w:t>Â Â Â Â Â Â Â Â  Mit der Beschwerdegegnerin sind vorliegend die Voraussetzungen fÃ¼r die Anrechnung eines Nebenerwerbs beim Invalideneinkommen erfÃ¼llt. Die Ãrzte der Rehabilitationsklinik Z.___ verglichen die funktionelle LeistungsfÃ¤higkeit mit den vorkommenden Reinigungsarbeiten in der Zahnarztpraxis (Nassbereich, Mobiliar inkl. Fenstersims und BÃ¶den, wiederholter Krafteinsatz beider Arme, sehr oft Gehen, Stehen zum Teil vorgeneigt und/oder verdreht, selten Knien) und qualifizierten die Arbeit unter Bezugnahme auf den Dictionary of Occupational Titles (DOT) als leicht (Kriterien: 5-10 kg, oder viel stehen/gehen, oder belastende Arm- oder Beinfunktion), welche der BeschwerdefÃ¼hrer ohne Probleme bewÃ¤ltigen kÃ¶nne (vgl. Urk. 8/18.11). Generell ergab die Zumutbarkeitsbeurteilung eine wechselbelastende leichte bis mittelschwere Arbeit, welche keine lÃ¤ngerdauernde vorgeneigt oder Ã¼ber BrusthÃ¶he auszufÃ¼hrende TÃ¤tigkeiten beinhaltet (vgl. Berichte vom 8. Februar 2006 [Urk. 8/48 S. 3] und vom 21. Juni 2005 [Urk. 8/18]). Selbst wenn bei der Reinigung einer Zahnarztpraxis gelegentlich auch mal Ã¼ber Kopf gearbeitet werden sollte, so macht dies die Arbeit nicht zu einer mittelschweren bis schweren oder gar unzumutbaren TÃ¤tigkeit, wie der BeschwerdefÃ¼hrer moniert (vgl. Urk. 1 S. 11 unten), denn angesichts des zeitlich kurzgehaltenen tÃ¤glichen Einsatzes kommt es nicht zu einer lÃ¤ngerdauernden Belastung. Zudem legte Kreisarzt Dr. B.___ nachvollziehbar dar, dass der Status nach Spondylodese zwischen Th12 und L2 bei angepasster Belastung keinen Schwachpunkt darstellt, der in zeitlicher Hinsicht einer besonderen Schonung bedÃ¼rfte (Urk. 8/79).</w:t>
      </w:r>
    </w:p>
    <w:p>
      <w:r>
        <w:t>Â Â Â Â Â Â Â Â  In quantitativer Hinsicht ermittelte die Beschwerdegegnerin durch Nachfrage bei verschiedenen Zahnarztpraxen einen durchschnittlichen Stundenlohn fÃ¼r Reinigungsarbeiten fÃ¼r das Jahr 2006 von Fr. 28.45, woraus bei 270 Jahres-Arbeitsstunden (wie vor dem Unfall, vgl. Urk. 8/60) ein Nebeneinkommen von Fr. 7'681.-- resultiert (Urk. 8/125/3 und Urk. 2 S. 6).</w:t>
      </w:r>
    </w:p>
    <w:p>
      <w:r>
        <w:t>3.2.2Â Â  Zur Ermittlung des Haupteinkommens hat die Beschwerdegegnerin die Dokumentation Ã¼ber ArbeitsplÃ¤tze (DAP; vgl. hiezu RKUV 1999 Nr. U 343 S. 412) beigezogen und aufgrund des Lohndurchschnittes von fÃ¼nf DAP-Unterlagen aus den Bereichen AbfÃ¼llung, Produktion, Spedition und Schlusskontrolle), welche allesamt den medizinischen Zumutbarkeitskriterien entsprechen, ein Invalideneinkommen von Fr. 54'456.-- ermittelt (Urk. 8/125.3 und Urk. 8/126). Dieses Vorgehen entspricht den bundesgerichtlichen Vorgaben, worauf die Beschwerdegegnerin explizit verweist (vgl. Urk. 6 S. 3 Ziff. 5.3), und ist nicht zu beanstanden.</w:t>
      </w:r>
    </w:p>
    <w:p>
      <w:r>
        <w:t>3.2.3Â Â  Ein Vergleich mit den vom BeschwerdefÃ¼hrer geltend gemachten statistischen TabellenlÃ¶hnen ergibt Folgendes: Da dem BeschwerdefÃ¼hrer nur HilfsarbeitertÃ¤tigkeiten offen stehen, ist die Rubrik "einfache und repetitive TÃ¤tigkeiten" heranzuziehen. Laut der Tabelle TA1 der Lohnstrukturerhebung (LSE) 2006 belief sich der Zentralwert fÃ¼r einfache und repetitive TÃ¤tigkeiten von MÃ¤nnern im privaten Sektor bei einer wÃ¶chentlichen Arbeitszeit von 40 Stunden auf Fr. 4'732.--, was bei Annahme einer betriebsÃ¼blichen durchschnittlichen Arbeitszeit von 41,7 Stunden im Jahr 2006 (Die Volkswirtschaft 5-2011 S. 90 Tabelle B9.2) pro Woche ein Gehalt von monatlich Fr. 4'933.10 oder (x 12) von Fr. 59'197.30 pro Jahr ergibt. Das von der Beschwerdegegnerin aufgrund der DAP ermittelte Einkommen liegt somit rund 8 % unter dem Tabellenlohn gemÃ¤ss LSE. Ein hÃ¶herer Abzug von "mindestens" 25 %, wie ihn der BeschwerdefÃ¼hrer verlangt, rechtfertigt sich mit Blick auf die bundesgerichtliche Rechtsprechung zu den lohnmindernden Faktoren (BGE 126 V 79 Erw. 5b/aa-cc) fÃ¼r den zu Rentenbeginn im Jahr 2006 50-jÃ¤hrigen, leidensbedingt nicht erheblich eingeschrÃ¤nkten BeschwerdefÃ¼hrer unter keinem Titel.</w:t>
      </w:r>
    </w:p>
    <w:p>
      <w:r>
        <w:t>3.3Â Â Â Â  Nach dem Gesagten hat es mit dem von der Beschwerdegegnerin korrekt durchgefÃ¼hrten Einkommensvergleich (Valideneinkommen Fr. 76'293.--; Invalideneinkommen Fr. 62'137.--), der zu einem InvaliditÃ¤tsgrad von 19 % fÃ¼hrt, sein Bewenden. Die Beschwerde ist demnach in diesem Punkt abzuweisen.</w:t>
      </w:r>
    </w:p>
    <w:p>
      <w:r>
        <w:t>4.Â Â Â Â Â Â  Zur Bemessung des IntegritÃ¤tsschadens machte der BeschwerdefÃ¼hrer in erster Linie geltend, der Sachverhalt sei angesichts divergierender Beurteilungen der radiologischen Befunde nicht rechtsgenÃ¼glich erstellt (Urk. 1 S. 11 und S. 13). Hierzu kann auf vorstehende Erw. 2.4 verwiesen werden, wonach der medizinische Befund umfassend erhoben wurde und kein Anlass fÃ¼r weitere AbklÃ¤rungen besteht. Kreisarzt Dr. B.___ berÃ¼cksichtigte bei seiner EinschÃ¤tzung sowohl die vorhandenen Schmerzen wie auch die Tatsache, dass eine Spondylodese durchgefÃ¼hrt wurde. In Anwendung der SUVA-Tabelle 7 betreffend IntegritÃ¤tsschaden bei WirbelsÃ¤ulenaffektionen (Positionen 1 und 4) schÃ¤tzte er die IntegritÃ¤tseinbusse auf 15 % (Urk. 8/73). Im Rahmen seiner Stellungnahme vom 12. Juni 2009 befasste sich Dr. C.___ auch mit der Beurteilung des IntegritÃ¤tsschadens durch Dr. B.___ (vgl. Urk. 7). Dabei kam er zum Schluss, selbst wenn eine gewisse InstabilitÃ¤t durch Einsinken des Cages in die Deckplatte von LWK2 nicht unplausibel sei, ergebe sich keine wesentliche ErhÃ¶hung des IntegritÃ¤tsschaden. Die Beschwerde ist somit auch bezÃ¼glich IntegritÃ¤tsentschÃ¤digung abzuweisen.</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Dominique Chopard</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