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UV.2009.00167 vom 16. September 2009</w:t>
      </w:r>
    </w:p>
    <w:p>
      <w:r>
        <w:t>ZH Sozialversicherungsgericht, 2009-09-16, DE</w:t>
      </w:r>
    </w:p>
    <w:p>
      <w:r>
        <w:rPr>
          <w:b/>
        </w:rPr>
        <w:t xml:space="preserve">Quelle: </w:t>
      </w:r>
      <w:r>
        <w:t>https://mcp.opencaselaw.ch/entscheid/zh_sozialversicherungsgericht_UV.2009.00167</w:t>
      </w:r>
    </w:p>
    <w:p>
      <w:r>
        <w:t>FR: ZH_SOZIALVERSICHERUNGSGERICHT UV.2009.00167 du 16 septembre 2009</w:t>
      </w:r>
    </w:p>
    <w:p>
      <w:r>
        <w:t>IT: ZH_SOZIALVERSICHERUNGSGERICHT UV.2009.00167 del 16 settembre 2009</w:t>
      </w:r>
    </w:p>
    <w:p>
      <w:pPr>
        <w:pStyle w:val="Heading2"/>
      </w:pPr>
      <w:r>
        <w:t>Erwägungen</w:t>
      </w:r>
    </w:p>
    <w:p>
      <w:r>
        <w:rPr>
          <w:b/>
        </w:rPr>
        <w:t>E. 3</w:t>
      </w:r>
    </w:p>
    <w:p>
      <w:r>
        <w:t>3.1Â Â Â Â  Hinsichtlich der Festsetzung der IntegritÃ¤tsentschÃ¤digung rÃ¼gt der BeschwerdefÃ¼hrer, dass der Kreisarzt bei der EinschÃ¤tzung der IntegritÃ¤tseinbusse vom Funktionsverlust der Zeige- sowie des Mittelfingers ausgegangen und den additiven Wert bei Verlust dieser beiden Finger (12 %) wegen der dystrophen Situation leicht (um 3 %) erhÃ¶ht hat (vgl. Urk. 9/53); nach Auffassung des BeschwerdefÃ¼hrers ist der IntegritÃ¤tsschaden wie der Verlust eines ganzen Arms zu bemessen und mit 50 % zu entschÃ¤digen (Urk. 1 Ziff. 14).</w:t>
      </w:r>
    </w:p>
    <w:p>
      <w:r>
        <w:t>3.2Â Â Â Â  Wie sich bereits aus vorstehender ErwÃ¤gung 2.1 ergibt, kann von einer vÃ¶lligen GebrauchsunfÃ¤higkeit der rechten Hand oder gar des ganzen rechten Arms keine Rede sein. Vielmehr besteht nur eine teilweise GebrauchsunfÃ¤higkeit, weshalb bereits unter diesem Aspekt die IntegritÃ¤tsentschÃ¤digung gemÃ¤ss Ziffer 2 der Richtlinien zur Bemessung der IntegritÃ¤tsentschÃ¤digung (vor der Skala in Anhang 3 zur Verordnung Ã¼ber die Unfallversicherung) jedenfalls unter dem Skalenwert fÃ¼r den Verlust einer Hand (40 %) liegen muss. Soweit der BeschwerdefÃ¼hrer geltend macht, die ganze Hand bzw. sogar der ganze rechte Arm seien unbestrittenermassen versteift und damit vollstÃ¤ndig funktionsunfÃ¤hig (Urk. 1 Ziff. 14), ist dies zum Einen sehr wohl bestritten (vgl. Urk. 8 Erw. 6.3) und widerspricht es zum Anderen der medizinischen Aktenlage. Die vom BeschwerdefÃ¼hrer behaupteten Funktionseinbussen entsprechen weder den vom Kreisarzt (Urk. 9/53) noch den vom behandelnden Arzt (Dr. med. B.___, Handchirurgie FMH, Winterthur Urk. 9/26) erhobenen Befunden.</w:t>
      </w:r>
    </w:p>
    <w:p>
      <w:r>
        <w:t>3.3Â Â Â Â  Sodann verkennt der BeschwerdefÃ¼hrer, dass fÃ¼r die Bemessung der IntegritÃ¤tsentschÃ¤digung nicht die Auswirkungen einer Funktionseinbusse auf die Arbeits- und ErwerbsfÃ¤higkeit, sondern die medizinisch objektivierbaren FunktionseinschrÃ¤nkungen einzelner Organe oder Gliedmasse massgeblich sind (vgl. Urteil 8C_243/2007 des Bundesgerichts vom 22. Februar 2008 Erw. 2.3). Dementsprechend hat der Kreisarzt den durch den versicherten Unfall vom 3. Juli 2005 verursachten teilweisen Funktionsverlust der rechten Hand zu Recht aufgrund der Funktionseinbusse der bei diesem Unfall verletzten Finger berechnet.</w:t>
      </w:r>
    </w:p>
    <w:p>
      <w:r>
        <w:t>3.4Â Â Â Â  Soweit der BeschwerdefÃ¼hrer sinngemÃ¤ss rÃ¼gt, dass die Funktionseinbusse wegen der Medianusproblematik unberÃ¼cksichtigt geblieben sei (Urk. 1 Ziff. 15), kann ihm nicht gefolgt werden. Denn diese Medianusproblematik rÃ¼hrt von einem nicht versicherten Unfall her (vgl. Urk. 10). Sie war entgegen der anderslautenden Behauptungen des BeschwerdefÃ¼hrers (vgl. Urk. 9/53 und Urk. 1 Ziff. 15) auch bereits vor dem versicherten Unfall vom 3. Juli 2005 symptomatisch und hatte die GebrauchsfÃ¤higkeit der rechten Hand stark (und zunehmend) eingeschrÃ¤nkt (vgl. Bericht des Dr. B.___ vom 20. November 2005, Urk. 9/26). Dass die Medianusproblematik vor dem Unfall erfolgreich operativ behoben werden konnte, trifft nicht zu; ebenso wenig hatte das Unfallereignis vom 3. Juli 2005 einen Einfluss auf den Verlauf der Medianusproblematik. Es liegt deshalb nicht ein Tatbestand im Sinne von BGE 116 V 156, S. 158 Erw. 3e, sondern vielmehr ein solcher im Sinne von BGE 116 V 156, S. 158 Erw. 3d vor. Da der versicherte Unfall nicht (teil)kausal fÃ¼r die Medianusproblematik ist, erÃ¼brigen sich weitere medizinische AbklÃ¤rungen zur Beantwortung der Frage, inwieweit die FunktionsfÃ¤higkeit der rechten Hand des BeschwerdefÃ¼hrers durch die Medianusproblematik zusÃ¤tzlich eingeschrÃ¤nkt wird.</w:t>
      </w:r>
    </w:p>
    <w:p>
      <w:r>
        <w:rPr>
          <w:b/>
        </w:rPr>
        <w:t>E. 4</w:t>
      </w:r>
    </w:p>
    <w:p>
      <w:r>
        <w:t>4.1Â Â Â Â  Zusammenfassend ergibt sich, dass der BeschwerdefÃ¼hrer weder mit seinen EinwÃ¤nden gegen die vorinstanzliche Ermittlung des InvaliditÃ¤tsgrades noch mit denjenigen gegen die Festsetzung der IntegritÃ¤tsentschÃ¤digung durchzudringen vermag, weshalb die Beschwerde abzuweisen ist.</w:t>
      </w:r>
    </w:p>
    <w:p>
      <w:r>
        <w:t>4.2Â Â Â Â  Was der BeschwerdefÃ¼hrer mit dem Antrag, Âes sei die aufschiebende Wirkung der Einsprache zu gewÃ¤hrenÂ (Urk. 1 S. 2), verlangen will, ist nicht nachvollziehbar; es fehlt jegliche auf diesen Antrag Bezug nehmende BegrÃ¼ndung.</w:t>
      </w:r>
    </w:p>
    <w:p>
      <w:r>
        <w:t>4.3Â Â Â Â  Soweit der BeschwerdefÃ¼hrer die GewÃ¤hrung der unentgeltlichen ProzessfÃ¼hrung verlangt, ist der Antrag gegenstandslos, da das vorliegende Verfahren ohnehin kostenlos ist. Hingegen kann dem Antrag auf unentgeltliche VerbeistÃ¤ndung entsprochen werden, da die Beschwerde nicht von Anfang an aussichtslos war. Bei der Festlegung der EntschÃ¤digung an die unentgeltliche RechtsbeistÃ¤ndin ist zu berÃ¼cksichtigen, dass diese den BeschwerdefÃ¼hrer bereits im Verwaltungsverfahren und im invalidenversicherungsrechtlichen Verfahren vertreten hat. Dadurch reduzierte sich ihr Aufwand im vorliegenden Verfahren.</w:t>
      </w:r>
    </w:p>
    <w:p>
      <w:r>
        <w:t>Â Â Â Â Â Â Â Â</w:t>
      </w:r>
    </w:p>
    <w:p>
      <w:r>
        <w:t>Das Gericht beschliesst:</w:t>
      </w:r>
    </w:p>
    <w:p>
      <w:r>
        <w:t>In Bewilligung des Gesuchs vom 29. April 2009 wird dem BeschwerdefÃ¼hrer RechtsanwÃ¤ltin Christina Ferritto-Keller, Winterthur, als unentgeltliche Rechtsvertreterin fÃ¼r das vorliegende Verfahren bestellt,</w:t>
      </w:r>
    </w:p>
    <w:p>
      <w:r>
        <w:t>und erkennt:</w:t>
      </w:r>
    </w:p>
    <w:p>
      <w:r>
        <w:t>1.Â Â Â Â Â Â Â Â  Die Beschwerde wird abgewiesen.</w:t>
      </w:r>
    </w:p>
    <w:p>
      <w:r>
        <w:t>2.Â Â Â Â Â Â Â Â  Das Verfahren ist kostenlos.</w:t>
      </w:r>
    </w:p>
    <w:p>
      <w:r>
        <w:t>3.Â Â Â Â Â Â Â Â  Die unentgeltliche Rechtsvertreterin des BeschwerdefÃ¼hrers, RechtsanwÃ¤ltin Christina Ferritto-Keller, Winterthur, wird mit Fr. 1'300.-- (inkl. Barauslagen und MWSt) aus der Gerichtskasse entschÃ¤digt. Der BeschwerdefÃ¼hrer wird auf Â§ 92 ZPO hingewiesen.</w:t>
      </w:r>
    </w:p>
    <w:p>
      <w:r>
        <w:t>4.Â Â Â Â Â Â Â Â  Zustellung gegen Empfangsschein an:</w:t>
      </w:r>
    </w:p>
    <w:p>
      <w:r>
        <w:t>- RechtsanwÃ¤ltin Christina Ferritto-Keller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