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UV.2009.00041 vom 2. Juli 2010</w:t>
      </w:r>
    </w:p>
    <w:p>
      <w:r>
        <w:t>ZH Sozialversicherungsgericht, 2010-07-02, DE</w:t>
      </w:r>
    </w:p>
    <w:p>
      <w:r>
        <w:rPr>
          <w:b/>
        </w:rPr>
        <w:t xml:space="preserve">Quelle: </w:t>
      </w:r>
      <w:r>
        <w:t>https://mcp.opencaselaw.ch/entscheid/zh_sozialversicherungsgericht_UV.2009.00041</w:t>
      </w:r>
    </w:p>
    <w:p>
      <w:r>
        <w:t>FR: ZH_SOZIALVERSICHERUNGSGERICHT UV.2009.00041 du 2 juillet 2010</w:t>
      </w:r>
    </w:p>
    <w:p>
      <w:r>
        <w:t>IT: ZH_SOZIALVERSICHERUNGSGERICHT UV.2009.00041 del 2 luglio 2010</w:t>
      </w:r>
    </w:p>
    <w:p>
      <w:pPr>
        <w:pStyle w:val="Heading2"/>
      </w:pPr>
      <w:r>
        <w:t>Erwägungen</w:t>
      </w:r>
    </w:p>
    <w:p>
      <w:r>
        <w:rPr>
          <w:b/>
        </w:rPr>
        <w:t>E. 3</w:t>
      </w:r>
    </w:p>
    <w:p>
      <w:r>
        <w:t>3.1Â Â Â Â  Das Unfallereignis schilderte der BeschwerdefÃ¼hrer am 6. Januar 2006 in Anwesenheit seines damaligen Rechtsvertreters wie folgt (Urk. 16/20):</w:t>
      </w:r>
    </w:p>
    <w:p>
      <w:r>
        <w:t>Â Â Â Â Â Â Â Â  Zum Zeitpunkt des Unfalls, am 17. August 2005, um ca. 17.00 Uhr, sei er alleine auf der Baustelle gewesen. Er habe sich in nach vorn gebÃ¼ckter Stellung befunden, um einen Schraubenzieher aus der Werkzeugtasche zu nehmen. Im gleichen Moment sei die ca. 300 kg schwere KÃ¼chenkombination mit voller Wucht auf ihn eingestÃ¼rzt, und er sei anschliessend darunter eingeklemmt gewesen. Er sei von der Kombination einerseits hinten am Nacken, im Bereich des Ãbergangs zum SchÃ¤del, andererseits im Kreuzbereich des RÃ¼ckens getroffen worden. Zudem haber er sich durch den Aufprall am Boden noch das linke Knie verletzt. Nach dem Unfall sei er unter der schweren KÃ¼chenkombination gelegen. Ob er noch eine Phase der Bewusstlosigkeit durchgemacht habe, lasse sich nicht sagen. Jedenfalls haber er dann noch das Handy aus der Hosentasche hervorziehen und einen Mitarbeiter der Y.___ AG benachrichtigen kÃ¶nnen. Dieser sei ihn anschliessend von der Last der KÃ¼chenkombination befreien kommen. Wie lange er insgesamt unter der Last eingeklemmt gewesen sei, wisse er nicht. Der Mitarbeiter habe ihm ins Auto geholfen. Anschliessend sei man zum Betrieb gefahren. Von dort aus habe er im eigenen PW den Heimweg angetreten.</w:t>
      </w:r>
    </w:p>
    <w:p>
      <w:r>
        <w:t>3.2Â Â Â Â  In objektiver Sicht ist der Beschwerdegegnerin beizupflichten, dass es sich bei diesem Ereignis um einen mittelschweren Unfall handelt. Entsprechend der in BGE 115 V 133 begrÃ¼ndeten Praxis mÃ¼ssen daher weitere Kriterien erfÃ¼llt sein, damit die adÃ¤quate UnfallkausalitÃ¤t der psychischen Beschwerden bejaht werden kann. Solche liegen jedoch nicht vor. Weder waren die somatischen Verletzungen gravierend, noch fÃ¼hrten solche zu einer lÃ¤nger andauernden und invasiven Ã¤rztlichen Behandlung oder einer lang anhaltenden, wesentlichen ArbeitsunfÃ¤higkeit. Die geklagten Dauerschmerzen konnten bereits ein halbes Jahr nach dem Unfall nicht mehr mit organischen SchÃ¤den allein in Zusammenhang gebracht werden. Der BeschwerdefÃ¼hrer bringt vor, er habe unter Todesangst gelitten und sei auch bewusstlos gewesen. Letzteres vermag keine besondere EindrÃ¼cklichkeit des Unfalles zu begrÃ¼nden, selbst wenn von diesem Sachverhalt auszugehen wÃ¤re, was angesichts der Angaben der ersten Stunde auszuschliessen ist. Dasselbe gilt fÃ¼r das sicherlich eingetretene Schreckmoment, welches jedem Unfall, jedenfalls im mittleren Bereich, innewohnt. Nachvollziehbar ist, dass der BeschwerdefÃ¼hrer angesichts der UmstÃ¤nde (allein auf der Baustelle nach Ã¼blichem Arbeitsschluss und dem UnvermÃ¶gen, sich selber aus der misslichen Lage zu befreien) Angst ausstand. Er war jedoch in der Lage, sich nach kurzer Zeit Hilfe zu organisieren, so dass die EindrÃ¼cklichkeit des Unfalles nicht besonders hoch einzustufen ist. Jedenfalls reicht es nicht aus, dieses Kriterium als derart gewichtig zu betrachten, dass die AdÃ¤quanz insgesamt zu bejahen wÃ¤re.</w:t>
      </w:r>
    </w:p>
    <w:p>
      <w:r>
        <w:t>4.Â Â Â Â Â Â Â Â  GestÃ¼tzt auf diese ErwÃ¤gungen ist zusammenfassend festzuhalten, dass spÃ¤testens Ende November 2006 weder behandlungsbedÃ¼rftige organische noch psychische Unfallfolgen mehr vorlagen, so dass die Beschwerdegegnerin zu Recht auf diesen Zeitpunkt die Taggeld- und Heilkostenleistungen unter Verneinung weitergehender AnsprÃ¼che einstellte. Der angefochtene Entscheid erweist sich demnach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Elda Bugada Aebli</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