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UV.2008.00297 vom 21. September 2009</w:t>
      </w:r>
    </w:p>
    <w:p>
      <w:r>
        <w:t>ZH Sozialversicherungsgericht, 2009-09-21, DE</w:t>
      </w:r>
    </w:p>
    <w:p>
      <w:r>
        <w:rPr>
          <w:b/>
        </w:rPr>
        <w:t xml:space="preserve">Quelle: </w:t>
      </w:r>
      <w:r>
        <w:t>https://mcp.opencaselaw.ch/entscheid/zh_sozialversicherungsgericht_UV.2008.00297</w:t>
      </w:r>
    </w:p>
    <w:p>
      <w:r>
        <w:t>FR: ZH_SOZIALVERSICHERUNGSGERICHT UV.2008.00297 du 21 septembre 2009</w:t>
      </w:r>
    </w:p>
    <w:p>
      <w:r>
        <w:t>IT: ZH_SOZIALVERSICHERUNGSGERICHT UV.2008.00297 del 21 settembre 2009</w:t>
      </w:r>
    </w:p>
    <w:p>
      <w:pPr>
        <w:pStyle w:val="Heading2"/>
      </w:pPr>
      <w:r>
        <w:t>Erwägungen</w:t>
      </w:r>
    </w:p>
    <w:p>
      <w:r>
        <w:rPr>
          <w:b/>
        </w:rPr>
        <w:t>E. 1</w:t>
      </w:r>
    </w:p>
    <w:p>
      <w:r>
        <w:t>1.1Â Â Â Â  Die SUVA hat die Bestimmungen und GrundsÃ¤tze zum Anspruch auf IntegritÃ¤tsentschÃ¤digung (Art. 24 des Bundesgesetzes Ã¼ber die Unfallversicherung [UVG]; Art. 36 Abs. 1 der Verordnung Ã¼ber die Unfallversicherung [UVV]), zur Abstufung nach der Schwere des IntegritÃ¤tsschadens (Art. 25 Abs. 1 UVG und Anhang 3 zur UVV, gestÃ¼tzt auf Art. 36 Abs. 2 UVV), zur Bedeutung der von der medizinischen Abteilung der SUVA erarbeiteten weiteren Bemessungsgrundlagen in tabellarischer Form (sog. Feinraster; vgl. BGE 124 V 29 E. 1c S. 32) sowie zum Beweiswert von Berichten und Gutachten versicherungsinterner Ãrzte zutreffend dargelegt. Darauf wird verwiesen.</w:t>
      </w:r>
    </w:p>
    <w:p>
      <w:r>
        <w:t>1.2Â Â Â Â  Zu ergÃ¤nzen ist, dass die Beurteilung der einzelnen IntegritÃ¤tseinbussen den Ã¤rztlichen SachverstÃ¤ndigen obliegt. Dem Gericht ist es nicht mÃ¶glich, die Beurteilung aufgrund der aktenkundigen Diagnosen selber vorzunehmen, da die AusschÃ¶pfung des in den Tabellen offengelassenen Bemessungsspielraums entsprechende Fachkenntnisse voraussetzt (RKUV 1998 Nr. U 296 S. 239 E. 2d, U 245/96; vgl. auch Urteil des damaligen EidgenÃ¶ssischen Versicherungsgerichts vom 13. Januar 2002, U 191/00, E. 2c, wonach es sich bei der Bestimmung des Schweregrades einer gesundheitlichen BeeintrÃ¤chtigung um eine Tatfrage handelt, fÃ¼r deren Beantwortung Verwaltung und Gerichte auf fachÃ¤rztliche Mithilfe angewiesen sind, da von einem medizinischen Laien eine zuverlÃ¤ssige Zuordnung nicht erwartet werden kann).</w:t>
      </w:r>
    </w:p>
    <w:p>
      <w:r>
        <w:rPr>
          <w:b/>
        </w:rPr>
        <w:t>E. 2</w:t>
      </w:r>
    </w:p>
    <w:p>
      <w:r>
        <w:t>2.1Â Â Â Â  Zwischen den Parteien ist unbestritten, dass der BeschwerdefÃ¼hrer an einer kÃ¶rperlichen BeeintrÃ¤chtigung leidet, die zu einer IntegritÃ¤tsentschÃ¤digung berechtigt. Streitig und zu prÃ¼fen ist allein die HÃ¶he des IntegritÃ¤tsschadens, der dem Anspruch auf IntegritÃ¤tsentschÃ¤digung zugrunde liegt.</w:t>
      </w:r>
    </w:p>
    <w:p>
      <w:r>
        <w:t>2.2Â Â Â Â  Die SUVA hat auf die Beurteilung ihres Kreisarztes, Dr. med. D.___, Spezialarzt FMH fÃ¼r Chirurgie, Sportmedizin und Phlebologie, abgestellt, der den IntegritÃ¤tsschaden am 4. Januar 2008 auf 10 % schÃ¤tzte (Urk. 8/272). In der Beschwerdeschrift wird dagegen eingewendet, die SchÃ¤digung des Handgelenks sei ausser Acht gelassen worden. Die im Rahmen der kreisÃ¤rztlichen Untersuchung erhobenen Befunde stÃ¼nden in klarem Gegensatz zur Ansicht von Dr. D.___, dass eine Diskrepanz bestehe zwischen den ausgeprÃ¤gten Gebrauchsspuren im Bereich der rechten Hand und der vom BeschwerdefÃ¼hrer angegebenen FunktionseinschrÃ¤nkung. Die Messung mit dem Vigorimeter zeige klar auf, dass die rechte Hand deutlich schwÃ¤cher sei als die linke. Die Schwielenbildung an der rechten Hand kÃ¶nne auf die zwei Tage Werkstattarbeit zurÃ¼ckgefÃ¼hrt werden, sei aber im Ãbrigen kein objektiver Indikator dafÃ¼r, dass die Hand nicht mehr geschÃ¤digt sei, da auch Schwielen bekomme, wer mit Schmerzen arbeite. GemÃ¤ss SUVA-Tabellen ergebe eine Handwurzelarthrose eine IntegritÃ¤tsentschÃ¤digung von 10 % (Tabelle 1) und eine mÃ¤ssige Handgelenksarthrose eine solche von 5-15 % (Tabelle 5). Bereits aus diesem Umstand kÃ¶nne gefolgert werden, dass die IntegritÃ¤tsentschÃ¤digung 25 % betrage mÃ¼sse (Urk. 1 S. 3). Auch die IntegrationsentschÃ¤digungen in vergleichbaren FÃ¤llen seien bei Weitem hÃ¶her ausgefallen. Weiter lÃ¤sst der BeschwerdefÃ¼hrer vorbringen, die Beurteilung des IntegritÃ¤tsschadens sei in einer angespannten und aggressiven AtmosphÃ¤re vorgenommen wurden. Eine objektive EinschÃ¤tzung sei unter diesen UmstÃ¤nden nicht mÃ¶glich gewesen (Urk. 1 S. 4 unten f.).</w:t>
      </w:r>
    </w:p>
    <w:p>
      <w:r>
        <w:rPr>
          <w:b/>
        </w:rPr>
        <w:t>E. 3</w:t>
      </w:r>
    </w:p>
    <w:p>
      <w:r>
        <w:t>3.1Â Â Â Â  Im Rahmen der kreisÃ¤rztlichen Untersuchung vom 5. Dezember 2007 kam SUVA-Kreisarzt Dr. D.___ zum Schluss, dass zweieinhalb Jahre nach dem Unfallereignis funktionell gute Ergebnisse an der rechten Hand und dem rechten HÃ¼ftgelenk vorlÃ¤gen. Die vom BeschwerdefÃ¼hrer Ã¼beraus heftig geklagten Beschwerden an Hand- und HÃ¼ftgelenk seien durch den somatisch objektivierbaren Befund nicht vollumfÃ¤nglich zu erklÃ¤ren. Insbesondere bestehe eine Diskrepanz zwischen den ausgeprÃ¤gten Gebrauchsspuren im Bereich der rechten Hand und der vom BeschwerdefÃ¼hrer angegebenen ausgeprÃ¤gten FunktionseinschrÃ¤nkung der rechten Hand. Schwielenbildung und Schrunden liessen den Schluss zu, dass auch die rechte Hand kraftvoll und andauernd zu manuellen Arbeiten eingesetzt werde. Als Verletzungsfolgen hielt Dr. D.___ eine BeinverkÃ¼rzung rechts von 1,5 cm, eine Muskelminderung an Ober- und Unterschenkel rechts, eine BewegungseinschrÃ¤nkung am Handgelenk rechts sowie Narben an HÃ¼ftgelenk und Hand rechts fest. Das Unfallereignis habe einen dauerhaften und erheblichen IntegritÃ¤tsschaden verursacht (vgl. Untersuchungsbericht vom 6. Dezember 2007 [Urk. 8/269]).</w:t>
      </w:r>
    </w:p>
    <w:p>
      <w:r>
        <w:t>3.2Â Â Â Â  Am 4. Januar 2008 nahm Dr. D.___ Einsicht in die RÃ¶ntgenaufnahmen des Beckens und des rechten HÃ¼ftgelenks, die eine VerkÃ¼rzung des Schenkelhalses rechts, eine knÃ¶chern konsolidierte Fraktur und keine Zeichen einer Coxarthrose zeigten. Die RÃ¶ntgenbilder der rechten Hand zeigten ebenfalls knÃ¶chern konsolidierte Frakturen sowie eine VerkÃ¼rzung von ca. 2 mm im Bereich des Metacarpale IV. Ansonsten war die Stellung anatomisch korrekt. Es lagen keine Hinweise fÃ¼r einen Morbus Sudeck vor. GestÃ¼tzt auf seine Untersuchungen schÃ¤tzte Dr. D.___ den unfallbedingten IntegritÃ¤tsschaden auf 10 %. Dies begrÃ¼ndete er damit, dass in Bezug auf das HÃ¼ftgelenk weder die BeinverkÃ¼rzung noch die Muskelminderung noch die Narben in den einschlÃ¤gigen SUVA-Tabellen als IntegritÃ¤tsschaden ausgewiesen seien und er in der Summe den Wert von 10 % im Quervergleich zu Tabelle 5 als den untersten Wert eine mÃ¤ssigen Coxarthrose fÃ¼r angemessen halte (vgl. Beurteilung vom 4. Januar 2008 [Urk. 8/272]).</w:t>
      </w:r>
    </w:p>
    <w:p>
      <w:r>
        <w:t>3.3Â Â Â Â  Mit der SUVA ist der kreisÃ¤rztlichen SchÃ¤tzung des IntegritÃ¤tsschadens vom 4. Januar 2008 (Urk. 8/272) in Verbindung mit dem kreisÃ¤rztlichen Untersuchungsbericht vom 6. Dezember 2007 (Urk. 8/269) voller Beweiswert zuzuerkennen. Diese Ã¤rztlichen Stellungnahmen erfÃ¼llen alle rechtsprechungsgemÃ¤ssen Anforderungen an eine beweistaugliche und beweiskrÃ¤ftige medizinische Entscheidungsgrundlage (BGE 125 V 351 E. 3a S. 352). Indizien, die gegen die ZuverlÃ¤ssigkeit dieser versicherungsinternen Berichte sprechen, sind nicht gegeben. Was der BeschwerdefÃ¼hrer einwenden lÃ¤sst, Ã¼berzeugt nicht. Entgegen seiner Behauptung hat Dr. D.___ bei der Beurteilung des IntegritÃ¤tsschadens sehr wohl auch die unfallbedingten Verletzungsfolgen an der rechten Hand berÃ¼cksichtigt (BewegungseinschrÃ¤nkung am Handgelenk sowie Narben [Urk. 8/272]). DiesbezÃ¼glich hat er aber darauf hingewiesen, dass eine Diskrepanz bestehe zwischen den ausgeprÃ¤gten Gebrauchsspuren im Bereich der rechten Hand (Schwielenbildung, Schrunden) und der angegebenen FunktionseinschrÃ¤nkung (Urk. 8/269 S. 6). Bereits SUVA-KreisÃ¤rztin Dr. med. E.___, SpezialÃ¤rztin FMH fÃ¼r OrthopÃ¤dische Chirurgie, hatte im Rahmen ihrer Untersuchung vom 21. Mai 2007 eine normale Trophik sowie eine symmetrische Beschwielung beider HÃ¤nde festgestellt (vgl. Bericht vom 22. Mai 2007 [Urk. 8/233 S. 3]). Auch sonst steht die EinschÃ¤tzung des Dr. D.___ im Einklang mit den Ã¼brigen Ã¤rztlichen Stellungnahmen. Beim Test mit dem Vigorimeter mass Dr. E.___ auf der rechten Seite nur eine unwesentlich kleinere Handkraft als auf der linken Seite. Auch sie kam - wie Dr. D.___ (vgl. Urk. 8/269 S. 6) - zum Schluss, dass funktionell ein gutes Ergebnis bestehe (Urk. 8/233 S. 3). Ebenso hatte Dr. med. F.___, Oberarzt am Spital G.___, Chirurgische Klinik und Poliklinik, in seinem Bericht vom 12. April 2007 festgehalten, dass die Funktion der rechten Hand nicht eingeschrÃ¤nkt sei (Urk. 8/219 S. 2). Am 30. November 2006 hatte schon Dr. med. H.___, Spezialarzt FMH fÃ¼r Innere Medizin, speziell Rheumakrankheiten, berichtet, dass der BeschwerdefÃ¼hrer von Seiten der rechten Hand praktisch beschwerdefrei sei. Auch Beweglichkeit und Kraft der rechten Hand seien normal (Urk. 8/173). Soweit der BeschwerdefÃ¼hrer fÃ¼r die Festsetzung des geltend gemachten IntegritÃ¤tsschadens an der rechten Hand die SUVA-Tabellen 1 und 5 beiziehen will (Urk. 1 S. 3 unten), kann ihm ebenso wenig gefolgt werden. Aufgrund der Akten steht fest, dass der BeschwerdefÃ¼hrer weder an einer Handwurzelarthrodese oder einer Handgelenksarthrose noch an einer vergleichbaren gesundheitlichen BeeintrÃ¤chtigung der rechten Hand leidet. Der Einwand, im Vergleich zu gleichgelagerten FÃ¤llen sei die hier zugesprochene IntegritÃ¤tsentschÃ¤digung viel zu tief bemessen, wurde nicht genauer substantiiert, weshalb der BeschwerdefÃ¼hrer auch daraus nichts zu seinen Gunsten ableiten kann.</w:t>
      </w:r>
    </w:p>
    <w:p>
      <w:r>
        <w:t>3.4Â Â Â Â  Die weiter vorgebrachte RÃ¼ge, Dr. D.___ sei befangen, ist nach der fÃ¼r sachverstÃ¤ndige Personen sinngemÃ¤ss anwendbaren Rechtsprechung zur UnabhÃ¤ngigkeit und Unparteilichkeit des Richters (BGE 120 V 364 Erw. 3a; RKUV 1999 Nr. U 332 S. 193 mit Hinweisen) zu beurteilen. Demnach kann bei der Beurteilung des Anscheins der Befangenheit und der Gewichtung solcher UmstÃ¤nde namentlich nicht auf das subjektive Empfinden einer Partei abgestellt werden. Das Misstrauen muss vielmehr in objektiver Hinsicht als begrÃ¼ndet erscheinen (BGE 120 V 365 Erw. 3a, 119 V 465 Erw. 5b, je mit Hinweisen). Auch wenn an die Unparteilichkeit des Gutachters ein strenger Massstab anzulegen ist (BGE 123 V 176 Erw. 3d mit Hinweis), ergeben sich aus dem zur Diskussion stehenden kreisÃ¤rztlichen Untersuchungsbericht vom 6. Dezember 2007 (Urk. 8/269) wie auch aus den Ã¼brigen Akten keine Anhaltspunkte, welche auf eine mangelnde ObjektivitÃ¤t oder Voreingenommenheit des Experten schliessen liessen. Eine solche lÃ¤sst sich insbesondere auch nicht daraus ableiten, dass die kreisÃ¤rztliche Untersuchung in einer angespannten AtmosphÃ¤re und unter Beizug einer Mitarbeiterin aus dem Kreisarztsekretariat durchgefÃ¼hrt wurde (vgl. Urk. 8/269 S. 2 f.). Im Untersuchungsbericht vom 6. Dezember 2007 hat Dr. D.___ unter dem Titel "Vorbemerkung" auf eine permanent aggressive Grundstimmung des BeschwerdefÃ¼hrers wÃ¤hrend Anamneseerhebung und Untersuchung hingewiesen (Urk. 8/269 S. 2). In seiner Stellungnahme vom 27. Februar 2008 hat Dr. D.___ dargelegt, dass die Mitarbeiterin aus dem Kreisarztsekretariat beigezogen worden sei, da es in der gegebenen Situation nach der Anamneseerhebung nicht absehbar gewesen sei, ob die zunehmende AggressivitÃ¤t des BeschwerdefÃ¼hrers noch weiter eskalieren und in Handgreiflichkeiten mÃ¼nden wÃ¼rde (Urk. 8/280 S. 2). Es ist jedoch nicht ersichtlich, inwiefern die angespannte AtmosphÃ¤re Dr. D.___ daran gehindert hÃ¤tte, den Gesundheitszustand des BeschwerdefÃ¼hrer objektiv und unvoreingenommen zu beurteilen, zumal der Beizug der Mitarbeiterin - gemÃ¤ss den unbestrittenen AusfÃ¼hrungen des Dr. D.___ (Urk. 8/280 S. 2) - tatsÃ¤chlich den gewÃ¼nschten Effekt der Beruhigung des BeschwerdefÃ¼hrers hatte. Ebenso wenig ist ersichtlich, weshalb der Beizug einer Hilfsperson zur Untersuchung unzulÃ¤ssig gewesen sein sollte, nehmen Hilfspersonen doch regelmÃ¤ssig - bei VerstÃ¤ndigungsschwierigkeiten zum Beispiel in Person eines Dolmetschers - an Untersuchungen teil. Eine zur Annahme von Befangenheit Anlass gebende Parteilichkeit lÃ¤sst sich daraus jedenfalls nicht ableiten.</w:t>
      </w:r>
    </w:p>
    <w:p>
      <w:r>
        <w:t>3.5Â Â Â Â  Zusammenfassend kann festgehalten werden, dass insgesamt keine GrÃ¼nde vorliegen, die die SchlÃ¼ssigkeit der kreisÃ¤rztlichen Stellungnahmen in Frage zu stellen vermÃ¶chten (BGE 125 V 352 Erw. 3b/aa mit Hinweisen). Die Festsetzung des IntegritÃ¤tsschadens ist nach dem Gesagten unter BerÃ¼cksichtigung der gesamten UmstÃ¤nde nicht zu beanstanden, zumal insbesondere die Einordnung von NichtlistenfÃ¤llen dem Arzt oder der Ãrztin einen grossen Ermessensspielraum erÃ¶ffnet. Anhaltspunkte fÃ¼r eine Voreingenommenheit oder eine Befangenheit gegenÃ¼ber dem BeschwerdefÃ¼hrer sind, auch bei Anlegung eines strengen Massstabs, beim SUVA-Kreisarzt nicht auszumachen. Die Einwendungen des BeschwerdefÃ¼hrers vermÃ¶gen zu keinem anderen Ergebnis zu fÃ¼hren. Von ergÃ¤nzenden medizinischen AbklÃ¤rungen, wie beantragt, sind keine neuen Erkenntnisse zu erwarten, weshalb davon in antizipierter BeweiswÃ¼rdigung (BGE 124 V 90 E. 4b S. 94; 122 V 157 E. 1d S. 162) abgesehen werden kann. Dies fÃ¼hrt zur Abweisung der Beschwerde.</w:t>
      </w:r>
    </w:p>
    <w:p>
      <w:r>
        <w:t>Das Gericht erkennt:</w:t>
      </w:r>
    </w:p>
    <w:p>
      <w:r>
        <w:t>1.Â Â Â Â Â Â Â Â  Die Beschwerde wird abgewiesen.</w:t>
      </w:r>
    </w:p>
    <w:p>
      <w:r>
        <w:t>2.Â Â Â Â Â Â Â Â  Das Verfahren ist kostenlos.</w:t>
      </w:r>
    </w:p>
    <w:p>
      <w:r>
        <w:t>3.Â Â Â Â Â Â Â Â  Zustellung gegen Empfangsschein an:</w:t>
      </w:r>
    </w:p>
    <w:p>
      <w:r>
        <w:t>- A.___</w:t>
      </w:r>
    </w:p>
    <w:p>
      <w:r>
        <w:t>- Schweizerische Unfallversicherungsanstalt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