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UV.2008.00093 vom 30. November 2009</w:t>
      </w:r>
    </w:p>
    <w:p>
      <w:r>
        <w:t>ZH Sozialversicherungsgericht, 2009-11-30, DE</w:t>
      </w:r>
    </w:p>
    <w:p>
      <w:r>
        <w:rPr>
          <w:b/>
        </w:rPr>
        <w:t xml:space="preserve">Quelle: </w:t>
      </w:r>
      <w:r>
        <w:t>https://mcp.opencaselaw.ch/entscheid/zh_sozialversicherungsgericht_UV.2008.00093</w:t>
      </w:r>
    </w:p>
    <w:p>
      <w:r>
        <w:t>FR: ZH_SOZIALVERSICHERUNGSGERICHT UV.2008.00093 du 30 novembre 2009</w:t>
      </w:r>
    </w:p>
    <w:p>
      <w:r>
        <w:t>IT: ZH_SOZIALVERSICHERUNGSGERICHT UV.2008.00093 del 30 novembre 2009</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1.2Â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rPr>
          <w:b/>
        </w:rPr>
        <w:t>E. 1.3</w:t>
      </w:r>
    </w:p>
    <w:p>
      <w:r>
        <w:t>1.3.1Â Â  Unter der Bezeichnung DAP fÃ¼hrt die SUVA eine interne Dokumentation zu ausgewÃ¤hlten ArbeitsplÃ¤tzen mit Angaben zu den ausbildungsmÃ¤ssigen und kÃ¶rperlichen Anforderungen, der betriebsÃ¼blichen Arbeitszeit und dem Verdienst sowie zum konkreten Aufgabenbereich (Arbeitsplatzbeschrieb). GemÃ¤ss den AusfÃ¼hrungen des EidgenÃ¶ssischen Versicherungsgerichts in BGE 129Â  V 472 (Erw. 4.2.1 S. 476) waren im damaligen Urteilszeitpunkt (28. August 2003) nach den Angaben der SUVA mehr als 6'000 ArbeitsplÃ¤tze erfasst. Die Dokumentation werde laufend aktualisiert und erweitert. Sie diene nicht der Vermittlung von ArbeitsplÃ¤tzen, sondern der InvaliditÃ¤tsbemessung anhand zumutbarer konkreter ArbeitsmÃ¶glichkeiten (SZS 1998 S. 487; KLAUS KORRODI, SUVA-TabellenlÃ¶hne zur Ermittlung des Invalideneinkommens, in: SCHAFFHAUSER/ SCHLAURI [Hrsg.], Rechtsfragen der InvaliditÃ¤t in der Sozialversicherung, VerÃ¶ffentlichungen des Schweizerischen Instituts fÃ¼r Verwaltungskurse an der UniversitÃ¤t St. Gallen, St. Gallen 1999, S. 117 ff.). Aufgrund eines zwischen dem BSV und der SUVA abgeschlossenen Vertrages gelange die DAP teilweise auch in der Invalidenversicherung zur Anwendung; einzelne IV-Stellen erfassten selbststÃ¤ndig ArbeitsplÃ¤tze.</w:t>
      </w:r>
    </w:p>
    <w:p>
      <w:r>
        <w:t>1.3.2Â Â  Zum VerhÃ¤ltnis der beiden Methoden hat das EidgenÃ¶ssische Versicherungsgericht in dem in RKUV 1999 Nr. U 343 S. 412 publizierten Urteil B. vom 1. MÃ¤rz 1999, U 40/98, festgestellt, den DAP-Zahlen komme kein genereller Vorrang gegenÃ¼ber den TabellenlÃ¶hnen zu. Offen blieb, auf welche Methode im Einzelfall abzustellen ist. Dass ein ungeregeltes Nebeneinander der beiden Verfahren in dem Sinne, dass nach freiem Ermessen entweder die eine oder die andere Methode gewÃ¤hlt werden kann, nicht zu befriedigen vermÃ¶ge, bedÃ¼rfe - so das EidgenÃ¶ssische Versicherungsgericht weiter in BGE 129 V 472 (Erw. 4.2.1 S. 476 f.) - keiner nÃ¤heren BegrÃ¼ndung. Auch kÃ¶nne der vom Versicherten im zweiten Schriftenwechsel geÃ¤usserten Auffassung, wonach im Streitfall ein Vergleich der Ergebnisse aus beiden Methoden stattzufinden habe und auf das fÃ¼r den Versicherten gÃ¼nstigere Ergebnis abzustellen sei, schon im Hinblick auf den sozialversicherungsrechtlich unzulÃ¤ssigen Grundsatz "in dubio pro assicurato" ("im Zweifel zu Gunsten des Versicherten"; ARV 1990 Nr. 12 S. 67 Erw. 1b; ZAK 1983 S. 259) nicht gefolgt werden. Eine einheitliche und rechtsgleiche Praxis liesse sich am ehesten Ã¼ber eine PrioritÃ¤tenordnung gewÃ¤hrleisten. Diese abschliessend festzulegen sei beim gegenwÃ¤rtigen Stand der Dinge indessen schwierig. Beide Methoden wiesen je aus ihrer Entstehung und Eigenart heraus Vor- und Nachteile auf. Die LSE seien aufgrund der gesamtschweizerischen Erhebung reprÃ¤sentativer und nicht anfÃ¤llig bezÃ¼glich Extremabweichungen nach oben und unten. Auch stellten sie ein Werk auf gesicherter wissenschaftlich-statistischer Basis dar. Ferner seien sie in der Anwendung ausgesprochen praktikabel. Wegen ihres Grobrasters erlaubten sie jedoch keine Feinabstufung, weder nach einzelnen Berufsgruppen noch nach den im Bereich der Schadenminderungspflicht (BGE 113 V 28 Erw. 4) liegenden Arbeitsregionen. Als Durchschnittswerte schlÃ¶ssen sie je nach Art der Behinderung und der Ã¼brigen UmstÃ¤nde auch eine mehr oder weniger grosse Zahl von ungeeigneten ArbeitsplÃ¤tzen mit ein. DemgegenÃ¼ber beruhe die DAP auf konkreten ArbeitsplÃ¤tzen und ermÃ¶gliche eine differenzierte Zuweisung von zumutbaren TÃ¤tigkeiten unter BerÃ¼cksichtigung der behinderungsbedingten EinschrÃ¤nkungen, der weiteren persÃ¶nlichen und beruflichen UmstÃ¤nde sowie der regionalen Aspekte. Dementsprechend liefere sie auch eine konkretere Grundlage fÃ¼r die Festlegung des hypothetischen Invalideneinkommens.</w:t>
      </w:r>
    </w:p>
    <w:p>
      <w:r>
        <w:t>Â Â Â Â Â Â Â Â  Nachteilig wirke sich aus, dass die DAP nicht allgemein zugÃ¤nglich sei, was zur Folge habe, dass einerseits die InvaliditÃ¤tsbemessungen in den verschiedenen Gebieten der Sozialversicherung und - im Hinblick auf die bisher in das DAP-Projekt nicht einbezogenen anderen registrierten Unfallversicherer - selbst innerhalb der Unfallversicherung nicht gestÃ¼tzt auf die gleichen Grundlagen vorgenommen werden kÃ¶nnten und andererseits nach der bisherigen Praxis nur eine sehr beschrÃ¤nkte ÃberprÃ¼fbarkeit hinsichtlich des Auswahlermessens und der ReprÃ¤sentativitÃ¤t der vorgelegten DAP-Profile im Einzelfall mÃ¶glich sei.</w:t>
      </w:r>
    </w:p>
    <w:p>
      <w:r>
        <w:t>1.3.3Â Â  Weil die InvaliditÃ¤tsbemessung aufgrund hypothetischer Vergleichseinkommen und unter BerÃ¼cksichtigung des in Betracht fallenden (ausgeglichenen) allgemeinen Arbeitsmarktes zu erfolgen habe, mÃ¼ssten die DAP auch im konkreten Einzelfall reprÃ¤sentativ sein (BGE 129 V 472 E. 4.2.2). Es genÃ¼ge daher nicht, wenn lediglich ein einziger oder einige wenige zumutbare ArbeitsplÃ¤tze angegeben wÃ¼rden, weil es sich dabei sowohl hinsichtlich der TÃ¤tigkeit als auch des bezahlten Lohnes um Sonder- oder AusnahmefÃ¤lle handeln kÃ¶nne. Unbeachtlich sei, ob der Arbeitsplatz frei oder besetzt ist, weil die InvaliditÃ¤tsbemessung auf der Fiktion eines ausgeglichenen Arbeitsmarktes beruhe. Wenn die Vorinstanz eine Mindestzahl von fÃ¼nf zumutbaren ArbeitsplÃ¤tzen voraussetze, so erscheine dies in quantitativer Hinsicht in der Regel als genÃ¼gend. Im Hinblick auf die geforderte ReprÃ¤sentativitÃ¤t der DAP-Profile und der daraus abgeleiteten Lohnangaben habe der Unfallversicherer im Sinne einer qualitativen Anforderung jedoch, zusÃ¤tzlich zur Auflage von mindestens fÃ¼nf DAP-BlÃ¤ttern, Angaben zu machen Ã¼ber die Gesamtzahl der aufgrund der gegebenen Behinderung in Frage kommenden dokumentierten ArbeitsplÃ¤tze, Ã¼ber den HÃ¶chst- und den Tiefstlohn sowie Ã¼ber den Durchschnittslohn der dem jeweils verwendeten Behinderungsprofil entsprechenden Gruppe. Damit werde auch die ÃberprÃ¼fung des Auswahlermessens hinreichend ermÃ¶glicht, und zwar in dem Sinne, dass die Kenntnis der dem verwendeten Behinderungsprofil entsprechenden Gesamtzahl behinderungsbedingt in Frage kommender ArbeitsplÃ¤tze sowie des HÃ¶chst-, Tiefst- und Durchschnittslohnes im Bereich des Suchergebnisses eine zuverlÃ¤ssige Beurteilung der verwendeten DAP-LÃ¶hne hinsichtlich ihrer ReprÃ¤sentativitÃ¤t erlaube. Das rechtliche GehÃ¶r sei dadurch zu wahren, dass die fÃ¼r die InvaliditÃ¤tsbemessung im konkreten Fall herangezogenen DAP-Profile mit den erwÃ¤hnten zusÃ¤tzlichen Angaben aufgelegt werde und die versicherte Person Gelegenheit habe, sich hiezu zu Ã¤ussern. AllfÃ¤llige Einwendungen der versicherten Person bezÃ¼glich des Auswahlermessens und der ReprÃ¤sentativitÃ¤t der DAP-BlÃ¤tter im Einzelfall seien grundsÃ¤tzlich im Einspracheverfahren zu erheben, damit der Einspracheentscheid sich damit auseinander setzen kÃ¶nne. Seien die erwÃ¤hnten Anforderungen im Einzelfall nicht erfÃ¼llt, kÃ¶nne im Bestreitungsfall nicht auf den DAP-Lohnvergleich abgestellt werden; diesfalls mÃ¼sse im Einspracheentscheid die InvaliditÃ¤t aufgrund der LSE-LÃ¶hne ermittelt werden. Im Beschwerdeverfahren sei es Sache des angerufenen Gerichts, die RechtskonformitÃ¤t der DAP-InvaliditÃ¤tsbemessung zu prÃ¼fen, und gegebenenfalls die Sache an den Versicherer zurÃ¼ckzuweisen oder an Stelle des DAP-Lohnvergleichs einen Tabellenlohnvergleich gestÃ¼tzt auf die LSE vorzunehmen.</w:t>
      </w:r>
    </w:p>
    <w:p>
      <w:r>
        <w:rPr>
          <w:b/>
        </w:rPr>
        <w:t>E. 2</w:t>
      </w:r>
    </w:p>
    <w:p>
      <w:r>
        <w:t>2.1Â Â Â Â  Soweit der BeschwerdefÃ¼hrer die SUVA-kreisÃ¤rztliche Zumutbarkeitsbeurteilung vom 18. August 2006 (Urk. 7/56) bzw. diejenige im Austrittsbericht der Z.___ vom 20. November 2006 (Urk. 7/75) durch den Bericht des B.___ vom 9. Februar 2007 Ã¼ber die MRI-Untersuchung des oberen Sprunggelenks (Urk. 7/100) in Frage gestellt sieht (Urk. 1 S. 8 f. Ziff. 7), kann dem nicht gefolgt werden.</w:t>
      </w:r>
    </w:p>
    <w:p>
      <w:r>
        <w:t>Â Â Â Â Â Â Â Â  GemÃ¤ss dem Austrittsbericht der Z.___ vom 20. November 2006 litt der BeschwerdefÃ¼hrer zu jener Zeit an bewegungs- und belastungsverstÃ¤rkten Schmerzen am Malleolus medialis rechts bzw. neigte sein rechtes oberes Sprunggelenk zu Schwellungen; aus diesen GrÃ¼nden wurde dem BeschwerdefÃ¼hrer eine eingeschrÃ¤nkte LeistungsfÃ¤higkeit fÃ¼r Arbeiten bei das rechte obere Sprunggelenk belastenden KÃ¶rperhaltungen wie Kauern und Stehen auf Leitern bescheinigt. Der Bericht Ã¼ber die MRI-Untersuchung vom 9. Februar 2007 liefert keine Befunde fÃ¼r darÃ¼ber hinausgehende EinschrÃ¤nkungen, sondern bestÃ¤tigt nur die dieser Zumutbarkeitsbeurteilung zugrundeliegenden. FÃ¼r mittelschwere Arbeiten unter Schonung des rechten oberen Sprunggelenks ist der BeschwerdefÃ¼hrer uneingeschrÃ¤nkt - ohne zeitliche Limitierung - leistungsfÃ¤hig. Dies wird von keinem medizinischen Experten in Frage gestellt.</w:t>
      </w:r>
    </w:p>
    <w:p>
      <w:r>
        <w:t>Â Â Â Â Â Â Â Â  Es sind daher auch keine medizinischen GrÃ¼nde ersichtlich, welche den BeschwerdefÃ¼hrer daran hindern kÃ¶nnten, neben einer vollzeitlichen HauptbeschÃ¤ftigung noch eine NebenbeschÃ¤ftigung auszuÃ¼ben - immer unter Schonung des rechten oberen Sprunggelenks. Entgegen beschwerdefÃ¼hrerischer Auffassung (Urk. 1 S. 9) bedarf dies keiner eingehenden BegrÃ¼ndung; es ergibt sich aus dem Umstand, dass der BeschwerdefÃ¼hrer nicht an einer generellen, sondern an spezifischen EinschrÃ¤nkungen der LeistungsfÃ¤higkeit (bei Arbeiten unter fÃ¼r das rechte obere Sprunggelenk belastenden KÃ¶rperhaltungen) leidet.</w:t>
      </w:r>
    </w:p>
    <w:p>
      <w:r>
        <w:t>2.2Â Â Â Â  Was die erwerblichen Faktoren der InvaliditÃ¤tsbemessung anbelangt, sind Einkommen aus einer mÃ¶glichen bzw. zumutbaren NebenbeschÃ¤ftigung demnach sowohl beim Validen- als auch beim Invalideneinkommen zu berÃ¼cksichtigen (vgl. Urteil des EidgenÃ¶ssischen Versicherungsgerichts vom 9. Mai 2005,Â  U 268/04, E. 3.1).</w:t>
      </w:r>
    </w:p>
    <w:p>
      <w:r>
        <w:t>2.2.1Â Â Â Â Â Â Â Â  BezÃ¼glich des Valideneinkommens weist der BeschwerdefÃ¼hrer zwar zu Recht darauf hin, dass er in den Jahren 2002 und 2003 durch Magazinerarbeiten fÃ¼r den Arbeitgeber seiner vollschichtigen HauptbeschÃ¤ftigung an Abenden und Wochenenden erhebliche Zusatzeinkommen erwirtschaftete; er rÃ¤umt aber selbst ein, dass diese NebenerwerbstÃ¤tigkeit im Jahr 2004 teilweise in Form von zusÃ¤tzlichen Ferien abgegolten wurde (Urk. 1 S. 11 f. Ziff. 10). Wenn die Beschwerdegegnerin das ohne Behinderung im Jahr 2007 erzielbare Gesamtvalideneinkommen aufgrund der Durchschnittswerte der Jahre 2002 bis 2004 gemÃ¤ss IK-Auszug berechnete (vgl. Urk. 7/119), ging sie von einer (im Mehrjahresdurchschnitt) intensiven hypothetischen NebenerwerbstÃ¤tigkeit aus. Diese tatsÃ¤chliche Annahme, welche sich - zufolge der schlechteren Bezahlung der beim Invalideneinkommen berÃ¼cksichtigten NebenerwerbstÃ¤tigkeit (vgl. Urk. 7/118) - zu Gunsten des BeschwerdefÃ¼hrers auswirkt, ist zumindest vertretbar. Von der mit der Vernehmlassung zur Beschwerde beantragten reformatio in peius durch das Gericht (Urk. 6 S. 5 Ziff. 9) ist daher abzusehen.</w:t>
      </w:r>
    </w:p>
    <w:p>
      <w:r>
        <w:t>Â Â Â Â Â Â Â Â  Entgegen beschwerdefÃ¼hrerischer Ansicht besteht allerdings auch kein Anlass, fÃ¼r die Ermittlung des hypothetischen Valideneinkommens von einer noch intensiveren NebenerwerbstÃ¤tigkeit auszugehen (wie sie sich aus dem Mehrjahresdurchschnitt der vom BeschwerdefÃ¼hrer zu den Akten der Vorinstanz gereichten Lohnausweisen ergÃ¤be, vgl. AnhÃ¤nge zu Urk. 7/142) sowie von der Annahme, dass eine Kompensation durch vermehrten Ferienbezug im Jahr 2004 nur ausnahmsweise erfolgte. Ebenso wenig ist wegen der hypothetisch intensiven NebenerwerbstÃ¤tigkeit ohne Behinderung der versicherte Verdienst entsprechend dem Beschwerdeantrag des BeschwerdefÃ¼hrers anzupassen; die Beschwerdegegnerin hat den versicherten Verdienst aufgrund des innerhalb eines Jahres vor dem Unfall tatsÃ¤chlich erzielten Lohnes festgesetzt (vgl. Urk. 7/90), was der gesetzlichen Vorschrift von Art. 15 Abs. 2 UVG entspricht.</w:t>
      </w:r>
    </w:p>
    <w:p>
      <w:r>
        <w:t>2.2.2Â Â Â Â Â Â Â Â  Hinsichtlich des von der Beschwerdegegnerin ermittelten Invalideneinkommens rÃ¼gt der BeschwerdefÃ¼hrer, dass sie fÃ¼r die zumutbare HaupterwerbstÃ¤tigkeit auf einen Durchschnittswert der LÃ¶hne an fÃ¼nf (aus 92 ausgewÃ¤hlten) dokumentierten ArbeitsplÃ¤tzen (Urk. 7/107-119) abgestellt hat. Dabei behauptet er, dass die Dokumentation nicht den Anforderungen gemÃ¤ss BGE 129 V 472 entspreche (Urk. 1 S. 11 Ziff. 9). Aus dem vom BeschwerdefÃ¼hrer behaupteten Umstand, dass seinem anwaltlichen Rechtsvertreter die Urkunden 7/107-119 trotz dessen an die Beschwerdegegnerin gerichtetem Ersuchen vom 5. April 2007 um Zustellung der vollstÃ¤ndigen Akten ab Urkunde 80 (vgl. Urk. 7/136) nicht zugestellt worden seien, lÃ¤sst sich allerdings nicht ableiten, dass die hier entscheidmassgebliche DAP-Dokumentation im Verwaltungsverfahren nicht den Anforderungen von BGE 129 V 472 entsprechend aufgelegt worden ist.</w:t>
      </w:r>
    </w:p>
    <w:p>
      <w:r>
        <w:t>Â Â Â Â Â Â Â Â  Vielmehr zeigen die von der Beschwerdegegnerin chronologisch gefÃ¼hrten Akten und der in der VerfÃ¼gung vom 4. April 2007 ausgewiesene gerundete Durchschnittswert von Fr. 54'564.-- gemÃ¤ss Urkunde 7/118 (vgl. Urk. 7/130 S. 3), dass die Urkunden 7/107-119 im Zeitpunkt des Erlasses besagter VerfÃ¼gung bereits vorliegen mussten. Dies war auch fÃ¼r den rechtskundigen und mit der AktenfÃ¼hrungspraxis der Beschwerdegegnerin vertrauten Rechtsvertreter des BeschwerdefÃ¼hrers bereits im Zeitpunkt der Aktenzustellung vom 19. April 2007 (vgl. Urk. 7/137) ohne Weiteres erkennbar. Denn das Fehlen einer nachvollziehbaren Herleitung des Werts von Fr. 54'564.-- gemÃ¤ss Seite 3 der VerfÃ¼gung vom 4. April 2007 (Urk. 7/130) in den erhaltenen Akten sowie das Fehlen des eigenen Aktenzustellungsgesuchs vom 5. April 2007 (Urk. 7/136) und gegebenenfalls einzelner AktenstÃ¼cke zwischen den Nummern 80 und 136 - mithin eine allfÃ¤llige UnvollstÃ¤ndigkeit der mit Kurzbrief vom 19. April 2007 (Urk. 7/137) zugestellten Aktenkopien oder eine unkorrekte AktenfÃ¼hrung - hÃ¤tten dem Rechtsvertreter des BeschwerdefÃ¼hrers sofort auffallen mÃ¼ssen. Wenn dem Rechtsvertreter des BeschwerdefÃ¼hrers aufgrund eines administrativen Versehens mit dem Kurzbrief vom 19. April 2007 nicht die vollstÃ¤ndigen Akten mit den Nummern von 80 bis 136 in Kopie zugestellt worden wÃ¤ren, hÃ¤tte er dies nach dem Grundsatz von Treu und Glauben im GeschÃ¤ftsverkehr bei der Beschwerdegegnerin beanstanden kÃ¶nnen und mÃ¼ssen. Dies tat er jedoch nicht; ebenso wenig, wie er - was er ohne Weiteres auch hÃ¤tte tun kÃ¶nnen, wenn ihn die DAP-Dokumentation interessiert hÃ¤tte - zu einem spÃ¤teren Zeitpunkt noch einmal die Akten der Beschwerdegegnerin zur Einsicht verlangte. Das Verhalten des beschwerdefÃ¼hrerischen Rechtsvertreters nach der Aktenzustellung vom 19. April 2007 legt daher den Schluss nahe, dass er die DAP-Unterlagen (Urk. 7/107-119) durchaus erhalten hat; wenn sie ihm im Zeitpunkt der Abfassung der Beschwerdeschrift nicht mehr vorlagen, hat das nicht die Beschwerdegegnerin zu vertreten. Dass die Beschwerdegegnerin den angefochtenen Einspracheentscheid auf eine DAP-Dokumentation abgestÃ¼tzt hat, zu welcher sich der BeschwerdefÃ¼hrer nicht im Sinne von BGE 129 V 472 hÃ¤tte Ã¤ussern kÃ¶nnen, kann ihr jedenfalls nicht vorgeworfen werden.</w:t>
      </w:r>
    </w:p>
    <w:p>
      <w:r>
        <w:t>Â Â Â Â Â Â Â Â  Da die dem angefochtenen Einspracheentscheid zugrundeliegende DAP-Dokumentation den rechtsprechungsgemÃ¤ssen Anforderungen entspricht (vgl. E. 1.3), hat die Beschwerdegegnerin bei der Ermittlung des Invalideneinkommens aus dem Haupterwerb des BeschwerdefÃ¼hrers zu Recht darauf abgestellt.</w:t>
      </w:r>
    </w:p>
    <w:p>
      <w:r>
        <w:t>2.2.3Â Â  Soweit der BeschwerdefÃ¼hrer geltend macht, es sei ihm aus rechtlichen GrÃ¼nden nicht mÃ¶glich oder zumutbar, im gleichen Umfang wie vor dem Unfall eine NebenbeschÃ¤ftigung auszuÃ¼ben (Urk. 1 S. 10 Ziff. 10), kann auch dem nicht gefolgt werden. Denn die Beschwerdegegnerin geht - wie die unterschiedliche Art der Berechnung der Invalideneinkommen aus Haupt- und NebenbeschÃ¤ftigung zeigt (vgl. Urk. 7/118-119) - zu Recht nicht davon aus, dass der BeschwerdefÃ¼hrer eine NebenbeschÃ¤ftigung nur in Form von Ãberzeit beim Arbeitgeber der HauptbeschÃ¤ftigung ausÃ¼ben kann. Der Hinweis auf die gesetzlichen HÃ¶chstarbeitszeiten in industriellen Betrieben geht daher ins Leere.</w:t>
      </w:r>
    </w:p>
    <w:p>
      <w:r>
        <w:t>2.3Â Â Â Â Â Â Â Â  Zusammenfassend ergibt sich, dass die Beschwerdegegnerin den InvaliditÃ¤tsgrad und den versicherten Verdienst korrekt ermittelt hat,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Dominique Chopard</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