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UV.2008.00023 vom 9. September 2009</w:t>
      </w:r>
    </w:p>
    <w:p>
      <w:r>
        <w:t>ZH Sozialversicherungsgericht, 2009-09-09, DE</w:t>
      </w:r>
    </w:p>
    <w:p>
      <w:r>
        <w:rPr>
          <w:b/>
        </w:rPr>
        <w:t xml:space="preserve">Quelle: </w:t>
      </w:r>
      <w:r>
        <w:t>https://mcp.opencaselaw.ch/entscheid/zh_sozialversicherungsgericht_UV.2008.00023</w:t>
      </w:r>
    </w:p>
    <w:p>
      <w:r>
        <w:t>FR: ZH_SOZIALVERSICHERUNGSGERICHT UV.2008.00023 du 9 septembre 2009</w:t>
      </w:r>
    </w:p>
    <w:p>
      <w:r>
        <w:t>IT: ZH_SOZIALVERSICHERUNGSGERICHT UV.2008.00023 del 9 settembre 2009</w:t>
      </w:r>
    </w:p>
    <w:p>
      <w:pPr>
        <w:pStyle w:val="Heading2"/>
      </w:pPr>
      <w:r>
        <w:t>Erwägungen</w:t>
      </w:r>
    </w:p>
    <w:p>
      <w:r>
        <w:rPr>
          <w:b/>
        </w:rPr>
        <w:t>E. 1</w:t>
      </w:r>
    </w:p>
    <w:p>
      <w:r>
        <w:t>1.1Â Â Â Â  Die massgebenden rechtlichen Grundlagen, insbesondere betreffend den Rentenanspruch gemÃ¤ss Art. 18 Abs. 1 des Bundesgesetzes Ã¼ber die Unfallversicherung (UVG) und die InvaliditÃ¤tsbemessung gemÃ¤ss Art. 16 des Bundesgesetzes Ã¼ber den Allgemeinen Teil des Sozialversicherungsrechts (ATSG), sind im angefochtenen Entscheid zutreffend wiedergegeben (Urk. 2 S. 3 Erw. 1, S. 4 f. Erw. 3). Darauf kann, mit nachstehenden ErgÃ¤nzungen, verwiesen werden.</w:t>
      </w:r>
    </w:p>
    <w:p>
      <w:r>
        <w:t>1.2Â Â Â Â  Ist die versicherte Person infolge des Unfalles voll oder teilweise arbeitsunfÃ¤hig (Art. 6 ATSG), so hat sie gemÃ¤ss Art. 16 Abs. 1 UVG Anspruch auf ein Taggeld. Der Anspruch auf Taggeld erlischt mit der Wiedererlangung der vollen ArbeitsfÃ¤higkeit, mit dem Beginn einer Rente oder mit dem Tod der versicherten Person (Art. 16 Abs. 2 UVG).</w:t>
      </w:r>
    </w:p>
    <w:p>
      <w:r>
        <w:t>Â Â Â Â Â Â Â Â Â  ArbeitsunfÃ¤higkeit ist gemÃ¤ss Art. 6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t>Â Â Â Â Â Â Â Â Â  Ist die versicherte Person infolge des Unfalles zu mindestens 10 Prozent invalid,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ATSG hinterlÃ¤sst (Art. 19 Abs. 1 UVG e contrario; BGE 116 V 44 Erw. 2c).</w:t>
      </w:r>
    </w:p>
    <w:p>
      <w:r>
        <w:t>2.Â Â Â Â Â Â  Strittig sind der Zeitpunkt des Rentenbeginns und die HÃ¶he des InvaliditÃ¤tsgrads.</w:t>
      </w:r>
    </w:p>
    <w:p>
      <w:r>
        <w:t>3.Â Â Â Â Â Â  Im invalidenversicherungsrechtlichen Verfahren hat das Bundesgericht in seinem Urteil vom 4. Februar 2008 - in BestÃ¤tigung des angefochtenen kantonalen Entscheids - festgehalten, seit 1. September 2003 habe der BeschwerdefÃ¼hrer eine behinderungsangepasste TÃ¤tigkeit, mit einer LeistungseinschrÃ¤nkung von 20 %, voll ausÃ¼ben kÃ¶nnen (Urk. 19 S. 5 Erw. 4.1).</w:t>
      </w:r>
    </w:p>
    <w:p>
      <w:r>
        <w:t>Â Â Â Â Â Â Â Â Â  Den InvaliditÃ¤tsgrad hat das Bundesgericht - wie bereits das kantonale Gericht - mit 34 % beziffert (Urk. 19 S. 6 f. Erw. 4.3).</w:t>
      </w:r>
    </w:p>
    <w:p>
      <w:r>
        <w:rPr>
          <w:b/>
        </w:rPr>
        <w:t>E. 4</w:t>
      </w:r>
    </w:p>
    <w:p>
      <w:r>
        <w:t>4.1Â Â Â Â  Die Beschwerdegegnerin hat ihre Taggeld-Leistungen per Ende 2003 eingestellt und per 1. Januar 2004 durch die zugesprochene Invalidenrente abgelÃ¶st.</w:t>
      </w:r>
    </w:p>
    <w:p>
      <w:r>
        <w:t>Â Â Â Â Â Â Â Â Â  Sie begrÃ¼ndete dies in ihrer Beschwerdeantwort damit, dass nach der Beendigung des ArbeitsverhÃ¤ltnisses per Ende Dezember 2003 fÃ¼r die Bemessung der ArbeitsfÃ¤higkeit auf den allgemeinen Arbeitsmarkt abzustellen sei, und dass ab 1. September 2003 von der hÃ¶chstgerichtlich bestÃ¤tigten vollen ArbeitsfÃ¤higkeit in leidensangepasster TÃ¤tigkeit auszugehen sei (Urk. 13 S. 5 Ziff. 9).</w:t>
      </w:r>
    </w:p>
    <w:p>
      <w:r>
        <w:t>4.2Â Â Â Â  Nicht ausdrÃ¼cklich berÃ¼cksichtigt hat die Beschwerdegegnerin dabei, dass die erwÃ¤hnte volle ArbeitsfÃ¤higkeit mit dem Zusatz verbunden war, dass dabei eine Leistungseinbusse von 20 % bestehe (vorstehend Erw. 3). Daraus wÃ¤re zu schliessen, dass mit Blick auf den Taggeldanspruch nach Ablauf einer gewissen Anpassungszeit noch eine Einbusse von 20 % hÃ¤tte berÃ¼cksichtigt werden mÃ¼ssen. Dem steht jedoch Art. 25 Abs. 3 Satz 2 UVV entgegegen, wonach bei einer ArbeitsunfÃ¤higkeit von 25 und weniger Prozent kein Taggeldanspruch besteht.</w:t>
      </w:r>
    </w:p>
    <w:p>
      <w:r>
        <w:t>Â Â Â Â Â Â Â Â Â  Somit ist die mit der Rentenzusprache per 1. Januar 2004 verbundene Einstellung der Taggeldleistungen korrekt und nicht zu beanstanden.</w:t>
      </w:r>
    </w:p>
    <w:p>
      <w:r>
        <w:t>Â Â Â Â Â Â Â Â Â  Davon abgesehen wÃ¤re - nachdem Taggelder und Renten nach dem versicherten Verdienst bemessen werden (Art. 15 Abs. 1 UVG) und dieser (von SpezialfÃ¤llen abgesehen) bei beiden Leistungen der gleiche ist - nicht einzusehen, worin das Rechtschutzinteresse bestehen kÃ¶nnte, anstelle einer Rente entsprechend einer Erwerbseinbusse von 34 % (oder gar, wie beantragt, Âmindestens 44 %Â) Taggelder entsprechend einer Einbusse von 20 % zugesprochen zu erhalten.</w:t>
      </w:r>
    </w:p>
    <w:p>
      <w:r>
        <w:rPr>
          <w:b/>
        </w:rPr>
        <w:t>E. 5</w:t>
      </w:r>
    </w:p>
    <w:p>
      <w:r>
        <w:t>5.1Â Â 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123 Erw. 3.3.3, 126 V 291 f. Erw. 2a mit Hinweisen; Art. 16 ATSG).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kann der von ihm festgelegte InvaliditÃ¤tsgrad wohl niedriger sein als jener der Invalidenversicherung, begriffsnotwendigerweise aber nicht hÃ¶her.</w:t>
      </w:r>
    </w:p>
    <w:p>
      <w:r>
        <w:t>5.2Â Â Â Â  Betreffend InvaliditÃ¤tsgrad erÃ¼brigen sich deshalb Weiterungen: HÃ¶chstgerichtlich bestÃ¤tigt betrÃ¤gt der InvaliditÃ¤tsgrad in der Invalidenversicherung 34 % (vorstehend Erw. 3). Damit stimmt der von der Beschwerdegegnerin mit 34 % bezifferte InvaliditÃ¤tsgrad Ã¼berein, weshalb dieser nicht zu beanstanden ist.</w:t>
      </w:r>
    </w:p>
    <w:p>
      <w:r>
        <w:t>Â Â Â Â Â Â Â Â Â  Auch in diesem Punkt erweist sich die Beschwerde als unbegrÃ¼ndet.</w:t>
      </w:r>
    </w:p>
    <w:p>
      <w:r>
        <w:t>Â Â Â Â Â Â Â Â Â  Zusammenfassend bleibt festzuhalten, dass der angefochtene Entscheid nicht zu beanstanden ist, was zur Abweisung der dagegen erhobenen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Alex Frei</w:t>
      </w:r>
    </w:p>
    <w:p>
      <w:r>
        <w:t>- Rechtsanwalt Christian Leupi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