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UV.2008.00015 vom 30. November 2009</w:t>
      </w:r>
    </w:p>
    <w:p>
      <w:r>
        <w:t>ZH Sozialversicherungsgericht, 2009-11-30, DE</w:t>
      </w:r>
    </w:p>
    <w:p>
      <w:r>
        <w:rPr>
          <w:b/>
        </w:rPr>
        <w:t xml:space="preserve">Quelle: </w:t>
      </w:r>
      <w:r>
        <w:t>https://mcp.opencaselaw.ch/entscheid/zh_sozialversicherungsgericht_UV.2008.00015</w:t>
      </w:r>
    </w:p>
    <w:p>
      <w:r>
        <w:t>FR: ZH_SOZIALVERSICHERUNGSGERICHT UV.2008.00015 du 30 novembre 2009</w:t>
      </w:r>
    </w:p>
    <w:p>
      <w:r>
        <w:t>IT: ZH_SOZIALVERSICHERUNGSGERICHT UV.2008.00015 del 30 novembre 2009</w:t>
      </w:r>
    </w:p>
    <w:p>
      <w:pPr>
        <w:pStyle w:val="Heading2"/>
      </w:pPr>
      <w:r>
        <w:t>Erwägungen</w:t>
      </w:r>
    </w:p>
    <w:p>
      <w:r>
        <w:rPr>
          <w:b/>
        </w:rPr>
        <w:t>E. 1</w:t>
      </w:r>
    </w:p>
    <w:p>
      <w:r>
        <w:t>Es sei der Einsprache-Entscheid der Beschwerdegegnerin vom 26. November 2007 aufzuheben und von einer LeistungskÃ¼rzung abzusehen.</w:t>
      </w:r>
    </w:p>
    <w:p>
      <w:r>
        <w:t>Â Â Â Â Â Â Â Â Â Â Â  2.Â Â  Eventualiter sei der Einsprache-Entscheid der Beschwerdegegnerin vom Â  Â Â  26. November 2007 aufzuheben und es sei die LeistungskÃ¼rzung von 30 % Â Â  Â Â  angemessen herabzusetzen.</w:t>
      </w:r>
    </w:p>
    <w:p>
      <w:r>
        <w:rPr>
          <w:b/>
        </w:rPr>
        <w:t>E. 3</w:t>
      </w:r>
    </w:p>
    <w:p>
      <w:r>
        <w:t>3.1Â Â Â Â  Laut dem Strafbefehl der Staatsanwaltschaft E.___ vom 24. Oktober 2006 (Urk. 8/102) und dem Rapport der Polizei '____' vom 9. November 2005 (Urk. 8/6/1-27) hat sich der Unfall ereignet, als der Personenwagen des BeschwerdefÃ¼hrers am Mittwoch, 9. November 2005, um circa 20.15 Uhr, aufgrund mangelnder Aufmerksamkeit des BeschwerdefÃ¼hrers auf die Gegenfahrbahn geriet und dort mit einem entgegenkommenden Fahrzeug kollidierte. Die Wendung der Âmangelnden AufmerksamkeitÂ wurde wohl aufgrund folgender Aussagen gewÃ¤hlt: Der schriftlichen Aussage des BeschwerdefÃ¼hrers vom 4. Dezember 2005 zufolge habe er ÂSpielsachen fÃ¼r die Kinder aus der FahrertÃ¼re genommen, dies sei kurz nach dem Kreisel gewesen, danach habe er nichts mehr gemacht oder zumindest wisse er von nichts mehrÂ (Urk. 8/6/13). Der schriftlichen Aussage von Z.___ vom 17. November 2005 zufolge sei der BeschwerdefÃ¼hrer kurz abgelenkt gewesen, da er seinen Sitz neu positionieren oder etwas unter dem Sitz hervorholen habe wollen (Urk. 8/6/16).</w:t>
      </w:r>
    </w:p>
    <w:p>
      <w:r>
        <w:t>3.2Â Â Â Â  Der BeschwerdefÃ¼hrer ist dafÃ¼r mit Strafbefehl vom 24. Oktober 2006 der fahrlÃ¤ssigen TÃ¶tung im Sinne von Art. 117 aStGB, der mehrfachen fahrlÃ¤ssigen schweren KÃ¶rperverletzung im Sinne von Art. 125 Abs. 2 aStGB in Verbindung mit Art. 68 Ziff. 1 aStGB (Zusammentreffen von strafbaren Handlungen oder Strafbestimmungen) und der fahrlÃ¤ssigen KÃ¶rperverletzung im Sinne von Art. 125 Abs. 1 aStGB schuldig gesprochen worden (Urk. 8/102). FÃ¼r eine von der strafrechtlichen Beurteilung abweichende Wertung auf Grund besonderer, nur sozialversicherungsrechtlich relevanter Gesichtspunkte besteht kein Anlass (vgl. dazu Urteil des EVG vom 18. Januar 2000, U 215/99, Erw. 2a). Der BeschwerdefÃ¼hrer stellt denn die strafrechtliche Subsumtion auch nicht in Frage. Sowohl fÃ¼r die fahrlÃ¤ssige TÃ¶tung als auch fÃ¼r die fahrlÃ¤ssige KÃ¶rperverletzung und die fahrlÃ¤ssige schwere KÃ¶rperverletzung sah aStGB als Strafe GefÃ¤ngnis vor, womit Art. 9 aStGB zufolge alle drei StraftatbestÃ¤nde als Vergehen zu qualifizieren sind (vgl. oben Erw. 1.3).</w:t>
      </w:r>
    </w:p>
    <w:p>
      <w:r>
        <w:t>3.3Â Â Â Â  Der BeschwerdefÃ¼hrer hat den Unfall demnach im Sinne von Art. 37 Abs. 3 UVG anlÃ¤sslich der ÂAusÃ¼bung eines Vergehens herbeigefÃ¼hrtÂ (vgl. oben Erw. 1.1 und 1.2).</w:t>
      </w:r>
    </w:p>
    <w:p>
      <w:r>
        <w:rPr>
          <w:b/>
        </w:rPr>
        <w:t>E. 4</w:t>
      </w:r>
    </w:p>
    <w:p>
      <w:r>
        <w:t>4.1Â Â Â Â  Art. 37 Abs. 3 UVG rÃ¤umt kein Entschliessungsermessen in dem Sinn ein, dass der Unfallversicherer frei darÃ¼ber entscheiden kÃ¶nnte, ob eine KÃ¼rzung zu verfÃ¼gen ist oder nicht. Die Kann-Vorschrift erlaubt indessen, AusnahmefÃ¤llen Rechnung zu tragen, so beispielsweise, wenn der bei AusÃ¼bung eines Verbrechens oder Vergehens herbeigefÃ¼hrte Unfall nur mit einem geringen oder Ã¼berhaupt keinem Verschulden des Versicherten in Zusammenhang steht, oder wenn die strafbare Handlung in Notwehr oder Notstand ausgeÃ¼bt worden ist (Rumo-Jungo, Rechtsprechung, S. 220 mit Hinweis auf RKUV 1994 Nr. U 207 S. 335 Erw. 4b).</w:t>
      </w:r>
    </w:p>
    <w:p>
      <w:r>
        <w:rPr>
          <w:b/>
        </w:rPr>
        <w:t>E. 4.2</w:t>
      </w:r>
    </w:p>
    <w:p>
      <w:r>
        <w:t>4.2.1Â Â  Das Verschulden ist die rechtlich missbilligende Qualifikation menschlichen Verhaltens. Das verschuldete Verhalten verdient den Tadel der Rechtsordnung, da es einem von ihr geforderten Verhalten nicht entspricht. Da der Gesetzgeber keinen Massstab aufstellt, nach welchem sich diese Missbilligung richtet, ist der Rechtsanwender gerufen, dem Begriff des Verschuldens einen Inhalt zu geben, indem er einen solchen Massstab vorzeichnet. Dieser hat ein objektiver zu sein, denn grundsÃ¤tzlich sind unter denselben UmstÃ¤nden alle Menschen an demselben Verhaltensmassstab zu messen (vgl. Rumo-Jungo, LeistungskÃ¼rzung, S. 75 f.). Neben der Verletzung des objektiven Standards besitzt jedes Verschulden auch eine subjektive Komponente, denn von Verschulden spricht man nur, wenn dem Handelnden sein Verhalten vorwerfbar ist. Der subjektive Vorwurf setzt immer eine Verletzung des objektiven Standards voraus. Das subjektive Verschulden ist der hauptsÃ¤chliche Gradmesser des zivilrechtlichen Verschuldens (vgl. Rumo-Jungo, LeistungskÃ¼rzung, S. 76 f., S. 105 mit Hinweis auf Werro, La capacitÃ© de discernement et la faute dans le droit suisse de la responsabilitÃ©, 2. Auflage, Freiburg 1986, N 470 ff.).</w:t>
      </w:r>
    </w:p>
    <w:p>
      <w:r>
        <w:t>4.2.2Â Â  Das Vorbringen des BeschwerdefÃ¼hrers, der zustÃ¤ndige Staatsanwalt habe rasch erkannt, dass ihm kein erhebliches Verschulden am Unfall vorgeworfen kÃ¶nne, weshalb er trotz der TÃ¶tung und den weiteren Verletzungen mehrerer Insassen in den Fahrzeugen keine Anklage erhoben habe, sondern am 24. Oktober 2006 das Strafverfahren mit einem Strafbefehl und einer EinstellungsverfÃ¼gung erledigt habe (Urk. 1 S. 4), ist unbehelflich, kÃ¶nnen doch die Leistungen selbst dann gekÃ¼rzt werden, wenn von der Strafverfolgung abgesehen wurde (Sozialversicherungsrecht-Rechtsprechung UV 2002 Nr. 14). Hinzu kommt, dass der Erlass eines Strafbefehls keineswegs auf fehlendes oder nur geringfÃ¼giges Verschulden schliessen lÃ¤sst, sondern im Wesentlichen vom Strafmass abhÃ¤ngt (Freiheitsstrafe von hÃ¶chstens drei Monaten; vgl. Â§ 317 Abs. 1 der Strafprozessordnung in der bis Ende 2006 gÃ¼ltig gewesenen Fassung).</w:t>
      </w:r>
    </w:p>
    <w:p>
      <w:r>
        <w:t>Â Â Â Â Â Â Â Â  Der Staatsanwalt Ã¤ussert sich zwar im Strafbefehl, wie vom BeschwerdefÃ¼hrer geltend gemacht, nicht explizit zu dessen Verschulden (Urk. 8/102). Er bestrafte den BeschwerdefÃ¼hrer jedoch mit drei Monaten GefÃ¤ngnis. Als Strafrahmen sahen sowohl Art. 117 aStGB als auch Art. 125 aStGB Busse oder GefÃ¤ngnis vor. Der HÃ¶chstbetrag der Busse lag bei Fr. 5'000.-- (Art. 106 Abs. 1 aStGB) und die GefÃ¤ngnisstrafe konnte mit einer Dauer zwischen drei Tagen und drei Jahren verhÃ¤ngt werden (Urk. 36 aStGB). Der Staatsanwalt erachtete die Bestrafung von drei Monaten Âder Tat, dem Verschulden, sowie den persÃ¶nlichen VerhÃ¤ltnissen des Angeschuldigten, der zudem selber bei dem Unfall erheblich verletzt wurde und unter den massiven Verletzungsfolgen nach wie vor zu leiden hat, insbesondere seiner Vorstrafenlosigkeit, seinem tadellosen automobilistischen Leumund und seinen aufgrund seiner wegen des Unfalles 100%igen ArbeitsunfÃ¤higkeit schwierigen finanziellen VerhÃ¤ltnissenÂ als angemessen (Urk. 8/6/102 S. 4). Dabei handelt es sich jedoch vorwiegend um strafmildernde und -mindernde UmstÃ¤nde, die fÃ¼r die Gewichtung des Verschuldens im vorliegenden sozialversicherungsrechtlichen Verfahren nicht relevant sein kÃ¶nnen.</w:t>
      </w:r>
    </w:p>
    <w:p>
      <w:r>
        <w:t>Â Â Â Â Â Â Â Â  Und wenn dem Strafbefehl zufolge das Fahrzeug des BeschwerdefÃ¼hrers Âaufgrund mangelnder Aufmerksamkeit des Angeschuldigten [der BeschwerdefÃ¼hrer] auf die Gegenfahrbahn gerÃ¤tÂ (Urk. 8/102 S. 2) impliziert dies offensichtlich auch aus Sicht des Staatsanwalts ein Verschulden des BeschwerdefÃ¼hrers. Wie die Beschwerdegegnerin richtigerweise anbringt, fÃ¤llt der Mangel an Aufmerksamkeit umso mehr ins Gesicht, als der BeschwerdefÃ¼hrer nicht alleine, sondern sogar mit Mitfahrern, darunter zwei nicht eigenen Kindern unterwegs war (Urk. 7 S. 3), wÃ¼rde dieser Umstand doch nach besonderer Vorsicht verlangen. Der Beschwerdegegnerin ist des Weiteren darin zu folgen, dass die Witterung zu berÃ¼cksichtigen ist. GemÃ¤ss dem Protokoll der Polizei '____' und der schriftlichen Aussage des BeschwerdefÃ¼hrers vom 14. November 2005 war es zum Unfallzeitpunkt Nacht und stark neblig (Urk. 8/6/10; Urk. 8/6/12), was von einem Verkehrsteilnehmer offensichtlich erhÃ¶hte Konzentration verlangt. Die Strasse am Unfallort sei ansteigend und fÃ¼hre in eine starke Rechtskurve, die unÃ¼bersichtlich sei. Ferner handle es sich um eine stark befahrene Hauptstrasse (Urk. 8/6/9). Zusammenfassend kann nicht von keinem oder nur von einem geringen Verschulden des BeschwerdefÃ¼hrers ausgegangen werden, so dass kein Grund bestand, von einer KÃ¼rzung abzusehen.</w:t>
      </w:r>
    </w:p>
    <w:p>
      <w:r>
        <w:rPr>
          <w:b/>
        </w:rPr>
        <w:t>E. 5</w:t>
      </w:r>
    </w:p>
    <w:p>
      <w:r>
        <w:t>5.1Â Â Â Â Â Â Â Â  BezÃ¼glich des Ausmasses der KÃ¼rzung ist zu beachten, dass der Richter sein Ermessen im Rahmen der Festsetzung der KÃ¼rzungsquote nicht ohne triftigen Grund anstelle desjenigen der Verwaltung setzen darf. Damit wird der Tatsache Rechnung getragen, dass die Versicherer (beziehungsweise die Schadensinspektoren des Unfallversicherers) den Sachverhalt meist besser kennen, ihn selber abgeklÃ¤rt und den Fall persÃ¶nlich betreut haben. Dem Ermessen des Rechtsanwenders werden einerseits durch gesetzlich festgelegte Grenzwerte, wie es beispielsweise das in Art. 21 Abs. 3 ATSG und Art. 37 Abs. 2 und 3 UVG vorgesehene AngehÃ¶rigenprivileg darstellt, Schranken gesetzt. Andererseits besteht eine Schranke des Ermessens darin, dass das praxisgemÃ¤sse KÃ¼rzungsminimum bei 10 % liegt (vgl. Rumo-Jungo, LeistungskÃ¼rzung, S. 208 f.).</w:t>
      </w:r>
    </w:p>
    <w:p>
      <w:r>
        <w:t>5.2Â Â Â Â  Die Beschwerdegegnerin berÃ¼cksichtigte bei der Bemessung der KÃ¼rzung ihrer Leistung um 30 % ihre KÃ¼rzungspraxis, die bei fahrlÃ¤ssiger schwerer KÃ¶rperverletzung 40 - 60 % betrage (Urk. 20 S. 3). Angesichts der Kasuistik (beispielsweise: fahrlÃ¤ssige TÃ¶tung: 10 %; fahrlÃ¤ssige TÃ¶tung bei weit Ã¼bersetzter Geschwindigkeit: 30 %; tÃ¤tliche Auseinandersetzung: 50 %; Rumo-Jungo, LeistungskÃ¼rzung, S. 213 ff. mit Hinweisen; vgl. auch BGE 120 V 224 [Fahren in angetrunkenem Zustand: 50 %]; 119 V 241 [grobe Verletzung der Verkehrsregeln: 20 %] und 129 V 354 [Fahren in angetrunkenem Zustand: 30 %]) Ã¼berschritt die SUVA mit der KÃ¼rzung ihren Ermessensspielraum nicht, zumal das Verschulden des BeschwerdefÃ¼hrers, wie oben (Erw. 4.2.2) dargelegt, nicht als geringfÃ¼gig erscheint. GemÃ¤ss bundesgerichtlicher Rechtsprechung bietet das Gesetz zudem keine Handhabe fÃ¼r die beantragte Reduktion der KÃ¼rzungsquote infolge der eigenen Verletzungen des Versicherten (vgl. Urteil des EVG vom 18. Januar 2000, U 215/99, Erw. 2a).</w:t>
      </w:r>
    </w:p>
    <w:p>
      <w:r>
        <w:t>6.Â Â Â Â Â Â  Nach dem Gesagten ist somit nicht zu beanstanden, dass die Beschwerdegegnerin mit VerfÃ¼gung vom 12. April 2007 (Urk. 8/106) und mit dem diese bestÃ¤tigenden Einsprache-Entscheid vom 26. November 2007 (Urk. 2) die Geldleistungen fÃ¼r die Folgen des Unfalls vom 9. November 2005 um 30 % kÃ¼rzte. Demnach ist die gegen den angefochtenen Einsprache-Entscheid vom 26. November 2007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Peter M. Saurer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